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2148840" cy="1443396"/>
            <wp:docPr id="1" name="Picture 1"/>
            <wp:cNvGraphicFramePr>
              <a:graphicFrameLocks noChangeAspect="1"/>
            </wp:cNvGraphicFramePr>
            <a:graphic>
              <a:graphicData uri="http://schemas.openxmlformats.org/drawingml/2006/picture">
                <pic:pic>
                  <pic:nvPicPr>
                    <pic:cNvPr id="0" name="finwell_logo_transparent.png"/>
                    <pic:cNvPicPr/>
                  </pic:nvPicPr>
                  <pic:blipFill>
                    <a:blip r:embed="rId11"/>
                    <a:stretch>
                      <a:fillRect/>
                    </a:stretch>
                  </pic:blipFill>
                  <pic:spPr>
                    <a:xfrm>
                      <a:off x="0" y="0"/>
                      <a:ext cx="2148840" cy="1443396"/>
                    </a:xfrm>
                    <a:prstGeom prst="rect"/>
                  </pic:spPr>
                </pic:pic>
              </a:graphicData>
            </a:graphic>
          </wp:inline>
        </w:drawing>
      </w:r>
    </w:p>
    <w:p>
      <w:pPr>
        <w:pStyle w:val="Title"/>
        <w:jc w:val="center"/>
      </w:pPr>
      <w:r>
        <w:t>MASTER SOFTWARE SUBSCRIPTION,</w:t>
        <w:br/>
        <w:t>IMPLEMENTATION, SUPPORT AND</w:t>
        <w:br/>
        <w:t>DATA PROCESSING AGREEMENT</w:t>
      </w:r>
    </w:p>
    <w:p>
      <w:pPr>
        <w:pStyle w:val="Heading1"/>
        <w:jc w:val="center"/>
      </w:pPr>
      <w:r>
        <w:rPr>
          <w:color w:val="F97316"/>
          <w:sz w:val="48"/>
        </w:rPr>
        <w:t>BIZZOMATION</w:t>
      </w:r>
    </w:p>
    <w:p>
      <w:pPr>
        <w:jc w:val="center"/>
      </w:pPr>
      <w:r>
        <w:rPr>
          <w:b/>
          <w:sz w:val="24"/>
        </w:rPr>
        <w:t>Business Autopilot &amp; Accountability Transformation</w:t>
      </w:r>
    </w:p>
    <w:p/>
    <w:tbl>
      <w:tblPr>
        <w:tblStyle w:val="TableGrid"/>
        <w:tblW w:type="auto" w:w="0"/>
        <w:jc w:val="center"/>
        <w:tblLayout w:type="autofit"/>
        <w:tblLook w:firstColumn="1" w:firstRow="1" w:lastColumn="0" w:lastRow="0" w:noHBand="0" w:noVBand="1" w:val="04A0"/>
      </w:tblPr>
      <w:tblGrid>
        <w:gridCol w:w="5083"/>
        <w:gridCol w:w="5083"/>
      </w:tblGrid>
      <w:tr>
        <w:tc>
          <w:tcPr>
            <w:tcW w:type="dxa" w:w="5083"/>
            <w:shd w:fill="0B1F33"/>
            <w:tcMar>
              <w:top w:w="130" w:type="dxa"/>
              <w:start w:w="150" w:type="dxa"/>
              <w:bottom w:w="130" w:type="dxa"/>
              <w:end w:w="150" w:type="dxa"/>
            </w:tcMar>
            <w:vAlign w:val="center"/>
          </w:tcPr>
          <w:p>
            <w:pPr>
              <w:spacing w:after="30"/>
            </w:pPr>
            <w:r>
              <w:rPr>
                <w:rFonts w:ascii="Aptos" w:hAnsi="Aptos"/>
                <w:b/>
                <w:color w:val="FFFFFF"/>
                <w:sz w:val="16"/>
              </w:rPr>
              <w:t>Agreement Date</w:t>
            </w:r>
          </w:p>
        </w:tc>
        <w:tc>
          <w:tcPr>
            <w:tcW w:type="dxa" w:w="5083"/>
            <w:shd w:fill="F8FAFC"/>
            <w:tcMar>
              <w:top w:w="130" w:type="dxa"/>
              <w:start w:w="150" w:type="dxa"/>
              <w:bottom w:w="130" w:type="dxa"/>
              <w:end w:w="150" w:type="dxa"/>
            </w:tcMar>
            <w:vAlign w:val="center"/>
          </w:tcPr>
          <w:p>
            <w:r>
              <w:t>2026-06-29</w:t>
            </w:r>
          </w:p>
        </w:tc>
      </w:tr>
      <w:tr>
        <w:tc>
          <w:tcPr>
            <w:tcW w:type="dxa" w:w="5083"/>
            <w:shd w:fill="0B1F33"/>
            <w:tcMar>
              <w:top w:w="130" w:type="dxa"/>
              <w:start w:w="150" w:type="dxa"/>
              <w:bottom w:w="130" w:type="dxa"/>
              <w:end w:w="150" w:type="dxa"/>
            </w:tcMar>
            <w:vAlign w:val="center"/>
          </w:tcPr>
          <w:p>
            <w:pPr>
              <w:spacing w:after="30"/>
            </w:pPr>
            <w:r>
              <w:rPr>
                <w:rFonts w:ascii="Aptos" w:hAnsi="Aptos"/>
                <w:b/>
                <w:color w:val="FFFFFF"/>
                <w:sz w:val="16"/>
              </w:rPr>
              <w:t>Finwell</w:t>
            </w:r>
          </w:p>
        </w:tc>
        <w:tc>
          <w:tcPr>
            <w:tcW w:type="dxa" w:w="5083"/>
            <w:shd w:fill="F8FAFC"/>
            <w:tcMar>
              <w:top w:w="130" w:type="dxa"/>
              <w:start w:w="150" w:type="dxa"/>
              <w:bottom w:w="130" w:type="dxa"/>
              <w:end w:w="150" w:type="dxa"/>
            </w:tcMar>
            <w:vAlign w:val="center"/>
          </w:tcPr>
          <w:p>
            <w:pPr>
              <w:spacing w:after="30"/>
            </w:pPr>
            <w:r>
              <w:rPr>
                <w:rFonts w:ascii="Aptos" w:hAnsi="Aptos"/>
                <w:sz w:val="16"/>
              </w:rPr>
              <w:t>Finwell Growth Solutions Pvt. Ltd.</w:t>
            </w:r>
          </w:p>
        </w:tc>
      </w:tr>
      <w:tr>
        <w:tc>
          <w:tcPr>
            <w:tcW w:type="dxa" w:w="5083"/>
            <w:shd w:fill="0B1F33"/>
            <w:tcMar>
              <w:top w:w="130" w:type="dxa"/>
              <w:start w:w="150" w:type="dxa"/>
              <w:bottom w:w="130" w:type="dxa"/>
              <w:end w:w="150" w:type="dxa"/>
            </w:tcMar>
            <w:vAlign w:val="center"/>
          </w:tcPr>
          <w:p>
            <w:pPr>
              <w:spacing w:after="30"/>
            </w:pPr>
            <w:r>
              <w:rPr>
                <w:rFonts w:ascii="Aptos" w:hAnsi="Aptos"/>
                <w:b/>
                <w:color w:val="FFFFFF"/>
                <w:sz w:val="16"/>
              </w:rPr>
              <w:t>Client</w:t>
            </w:r>
          </w:p>
        </w:tc>
        <w:tc>
          <w:tcPr>
            <w:tcW w:type="dxa" w:w="5083"/>
            <w:shd w:fill="F8FAFC"/>
            <w:tcMar>
              <w:top w:w="130" w:type="dxa"/>
              <w:start w:w="150" w:type="dxa"/>
              <w:bottom w:w="130" w:type="dxa"/>
              <w:end w:w="150" w:type="dxa"/>
            </w:tcMar>
            <w:vAlign w:val="center"/>
          </w:tcPr>
          <w:p>
            <w:pPr>
              <w:spacing w:after="30"/>
            </w:pPr>
            <w:r>
              <w:rPr>
                <w:rFonts w:ascii="Aptos" w:hAnsi="Aptos"/>
                <w:sz w:val="16"/>
              </w:rPr>
              <w:t>Taxmanntri Consultancy Private Limited</w:t>
            </w:r>
          </w:p>
        </w:tc>
      </w:tr>
      <w:tr>
        <w:tc>
          <w:tcPr>
            <w:tcW w:type="dxa" w:w="5083"/>
            <w:shd w:fill="0B1F33"/>
            <w:tcMar>
              <w:top w:w="130" w:type="dxa"/>
              <w:start w:w="150" w:type="dxa"/>
              <w:bottom w:w="130" w:type="dxa"/>
              <w:end w:w="150" w:type="dxa"/>
            </w:tcMar>
            <w:vAlign w:val="center"/>
          </w:tcPr>
          <w:p>
            <w:pPr>
              <w:spacing w:after="30"/>
            </w:pPr>
            <w:r>
              <w:rPr>
                <w:rFonts w:ascii="Aptos" w:hAnsi="Aptos"/>
                <w:b/>
                <w:color w:val="FFFFFF"/>
                <w:sz w:val="16"/>
              </w:rPr>
              <w:t>Initial Term</w:t>
            </w:r>
          </w:p>
        </w:tc>
        <w:tc>
          <w:tcPr>
            <w:tcW w:type="dxa" w:w="5083"/>
            <w:shd w:fill="F8FAFC"/>
            <w:tcMar>
              <w:top w:w="130" w:type="dxa"/>
              <w:start w:w="150" w:type="dxa"/>
              <w:bottom w:w="130" w:type="dxa"/>
              <w:end w:w="150" w:type="dxa"/>
            </w:tcMar>
            <w:vAlign w:val="center"/>
          </w:tcPr>
          <w:p>
            <w:r>
              <w:t>3 months</w:t>
            </w:r>
          </w:p>
        </w:tc>
      </w:tr>
      <w:tr>
        <w:tc>
          <w:tcPr>
            <w:tcW w:type="dxa" w:w="5083"/>
            <w:shd w:fill="0B1F33"/>
            <w:tcMar>
              <w:top w:w="130" w:type="dxa"/>
              <w:start w:w="150" w:type="dxa"/>
              <w:bottom w:w="130" w:type="dxa"/>
              <w:end w:w="150" w:type="dxa"/>
            </w:tcMar>
            <w:vAlign w:val="center"/>
          </w:tcPr>
          <w:p>
            <w:pPr>
              <w:spacing w:after="30"/>
            </w:pPr>
            <w:r>
              <w:rPr>
                <w:rFonts w:ascii="Aptos" w:hAnsi="Aptos"/>
                <w:b/>
                <w:color w:val="FFFFFF"/>
                <w:sz w:val="16"/>
              </w:rPr>
              <w:t>Order Form / SOW</w:t>
            </w:r>
          </w:p>
        </w:tc>
        <w:tc>
          <w:tcPr>
            <w:tcW w:type="dxa" w:w="5083"/>
            <w:shd w:fill="F8FAFC"/>
            <w:tcMar>
              <w:top w:w="130" w:type="dxa"/>
              <w:start w:w="150" w:type="dxa"/>
              <w:bottom w:w="130" w:type="dxa"/>
              <w:end w:w="150" w:type="dxa"/>
            </w:tcMar>
            <w:vAlign w:val="center"/>
          </w:tcPr>
          <w:p>
            <w:pPr>
              <w:spacing w:after="30"/>
            </w:pPr>
            <w:r>
              <w:rPr>
                <w:rFonts w:ascii="Aptos" w:hAnsi="Aptos"/>
                <w:sz w:val="16"/>
              </w:rPr>
              <w:t>Schedule 1 and Schedule 2</w:t>
            </w:r>
          </w:p>
        </w:tc>
      </w:tr>
    </w:tbl>
    <w:p/>
    <w:p>
      <w:pPr>
        <w:pStyle w:val="Heading2"/>
        <w:jc w:val="center"/>
      </w:pPr>
      <w:r>
        <w:t>IMPORTANT EXECUTION NOTE</w:t>
      </w:r>
    </w:p>
    <w:p>
      <w:pPr>
        <w:jc w:val="center"/>
      </w:pPr>
      <w:r>
        <w:t>This is a comprehensive B2B template intended to be completed with the client-specific Order Form and Statement of Work before signature. Stamp duty, sector-specific requirements, data residency commitments, regulated-industry requirements, and the authority of signatories should be confirmed for each transaction.</w:t>
      </w:r>
    </w:p>
    <w:p>
      <w:r>
        <w:br w:type="page"/>
      </w:r>
    </w:p>
    <w:p>
      <w:pPr>
        <w:pStyle w:val="Heading1"/>
      </w:pPr>
      <w:r>
        <w:t>DOCUMENT STRUCTURE</w:t>
      </w:r>
    </w:p>
    <w:tbl>
      <w:tblPr>
        <w:tblStyle w:val="LightShading-Accent1"/>
        <w:tblW w:type="auto" w:w="0"/>
        <w:jc w:val="center"/>
        <w:tblLayout w:type="autofit"/>
        <w:tblLook w:firstColumn="1" w:firstRow="1" w:lastColumn="0" w:lastRow="0" w:noHBand="0" w:noVBand="1" w:val="04A0"/>
      </w:tblPr>
      <w:tblGrid>
        <w:gridCol w:w="5083"/>
        <w:gridCol w:w="5083"/>
      </w:tblGrid>
      <w:tr>
        <w:tc>
          <w:tcPr>
            <w:tcW w:type="dxa" w:w="5083"/>
            <w:vAlign w:val="center"/>
          </w:tcPr>
          <w:p>
            <w:pPr>
              <w:spacing w:after="30"/>
            </w:pPr>
          </w:p>
        </w:tc>
        <w:tc>
          <w:tcPr>
            <w:tcW w:type="dxa" w:w="5083"/>
            <w:vAlign w:val="center"/>
          </w:tcPr>
          <w:p>
            <w:pPr>
              <w:spacing w:after="30"/>
            </w:pPr>
          </w:p>
        </w:tc>
      </w:tr>
      <w:tr>
        <w:tc>
          <w:tcPr>
            <w:tcW w:type="dxa" w:w="5083"/>
            <w:vAlign w:val="center"/>
          </w:tcPr>
          <w:p>
            <w:pPr>
              <w:spacing w:after="30"/>
            </w:pPr>
            <w:r>
              <w:rPr>
                <w:rFonts w:ascii="Aptos" w:hAnsi="Aptos"/>
                <w:sz w:val="16"/>
              </w:rPr>
              <w:t>Part A</w:t>
            </w:r>
          </w:p>
        </w:tc>
        <w:tc>
          <w:tcPr>
            <w:tcW w:type="dxa" w:w="5083"/>
            <w:vAlign w:val="center"/>
          </w:tcPr>
          <w:p>
            <w:pPr>
              <w:spacing w:after="30"/>
            </w:pPr>
            <w:r>
              <w:rPr>
                <w:rFonts w:ascii="Aptos" w:hAnsi="Aptos"/>
                <w:sz w:val="16"/>
              </w:rPr>
              <w:t>Master Software Subscription and Services Terms</w:t>
            </w:r>
          </w:p>
        </w:tc>
      </w:tr>
      <w:tr>
        <w:tc>
          <w:tcPr>
            <w:tcW w:type="dxa" w:w="5083"/>
            <w:vAlign w:val="center"/>
          </w:tcPr>
          <w:p>
            <w:pPr>
              <w:spacing w:after="30"/>
            </w:pPr>
            <w:r>
              <w:rPr>
                <w:rFonts w:ascii="Aptos" w:hAnsi="Aptos"/>
                <w:sz w:val="16"/>
              </w:rPr>
              <w:t>Schedule 1</w:t>
            </w:r>
          </w:p>
        </w:tc>
        <w:tc>
          <w:tcPr>
            <w:tcW w:type="dxa" w:w="5083"/>
            <w:vAlign w:val="center"/>
          </w:tcPr>
          <w:p>
            <w:pPr>
              <w:spacing w:after="30"/>
            </w:pPr>
            <w:r>
              <w:rPr>
                <w:rFonts w:ascii="Aptos" w:hAnsi="Aptos"/>
                <w:sz w:val="16"/>
              </w:rPr>
              <w:t>Order Form and Commercial Terms</w:t>
            </w:r>
          </w:p>
        </w:tc>
      </w:tr>
      <w:tr>
        <w:tc>
          <w:tcPr>
            <w:tcW w:type="dxa" w:w="5083"/>
            <w:vAlign w:val="center"/>
          </w:tcPr>
          <w:p>
            <w:pPr>
              <w:spacing w:after="30"/>
            </w:pPr>
            <w:r>
              <w:rPr>
                <w:rFonts w:ascii="Aptos" w:hAnsi="Aptos"/>
                <w:sz w:val="16"/>
              </w:rPr>
              <w:t>Schedule 2</w:t>
            </w:r>
          </w:p>
        </w:tc>
        <w:tc>
          <w:tcPr>
            <w:tcW w:type="dxa" w:w="5083"/>
            <w:vAlign w:val="center"/>
          </w:tcPr>
          <w:p>
            <w:pPr>
              <w:spacing w:after="30"/>
            </w:pPr>
            <w:r>
              <w:rPr>
                <w:rFonts w:ascii="Aptos" w:hAnsi="Aptos"/>
                <w:sz w:val="16"/>
              </w:rPr>
              <w:t>Statement of Work and Acceptance</w:t>
            </w:r>
          </w:p>
        </w:tc>
      </w:tr>
      <w:tr>
        <w:tc>
          <w:tcPr>
            <w:tcW w:type="dxa" w:w="5083"/>
            <w:vAlign w:val="center"/>
          </w:tcPr>
          <w:p>
            <w:pPr>
              <w:spacing w:after="30"/>
            </w:pPr>
            <w:r>
              <w:rPr>
                <w:rFonts w:ascii="Aptos" w:hAnsi="Aptos"/>
                <w:sz w:val="16"/>
              </w:rPr>
              <w:t>Schedule 3</w:t>
            </w:r>
          </w:p>
        </w:tc>
        <w:tc>
          <w:tcPr>
            <w:tcW w:type="dxa" w:w="5083"/>
            <w:vAlign w:val="center"/>
          </w:tcPr>
          <w:p>
            <w:pPr>
              <w:spacing w:after="30"/>
            </w:pPr>
            <w:r>
              <w:rPr>
                <w:rFonts w:ascii="Aptos" w:hAnsi="Aptos"/>
                <w:sz w:val="16"/>
              </w:rPr>
              <w:t>Data Processing Addendum</w:t>
            </w:r>
          </w:p>
        </w:tc>
      </w:tr>
      <w:tr>
        <w:tc>
          <w:tcPr>
            <w:tcW w:type="dxa" w:w="5083"/>
            <w:vAlign w:val="center"/>
          </w:tcPr>
          <w:p>
            <w:pPr>
              <w:spacing w:after="30"/>
            </w:pPr>
            <w:r>
              <w:rPr>
                <w:rFonts w:ascii="Aptos" w:hAnsi="Aptos"/>
                <w:sz w:val="16"/>
              </w:rPr>
              <w:t>Schedule 4</w:t>
            </w:r>
          </w:p>
        </w:tc>
        <w:tc>
          <w:tcPr>
            <w:tcW w:type="dxa" w:w="5083"/>
            <w:vAlign w:val="center"/>
          </w:tcPr>
          <w:p>
            <w:pPr>
              <w:spacing w:after="30"/>
            </w:pPr>
            <w:r>
              <w:rPr>
                <w:rFonts w:ascii="Aptos" w:hAnsi="Aptos"/>
                <w:sz w:val="16"/>
              </w:rPr>
              <w:t>Information Security Measures</w:t>
            </w:r>
          </w:p>
        </w:tc>
      </w:tr>
      <w:tr>
        <w:tc>
          <w:tcPr>
            <w:tcW w:type="dxa" w:w="5083"/>
            <w:vAlign w:val="center"/>
          </w:tcPr>
          <w:p>
            <w:pPr>
              <w:spacing w:after="30"/>
            </w:pPr>
            <w:r>
              <w:rPr>
                <w:rFonts w:ascii="Aptos" w:hAnsi="Aptos"/>
                <w:sz w:val="16"/>
              </w:rPr>
              <w:t>Schedule 5</w:t>
            </w:r>
          </w:p>
        </w:tc>
        <w:tc>
          <w:tcPr>
            <w:tcW w:type="dxa" w:w="5083"/>
            <w:vAlign w:val="center"/>
          </w:tcPr>
          <w:p>
            <w:pPr>
              <w:spacing w:after="30"/>
            </w:pPr>
            <w:r>
              <w:rPr>
                <w:rFonts w:ascii="Aptos" w:hAnsi="Aptos"/>
                <w:sz w:val="16"/>
              </w:rPr>
              <w:t>Service Levels and Support</w:t>
            </w:r>
          </w:p>
        </w:tc>
      </w:tr>
      <w:tr>
        <w:tc>
          <w:tcPr>
            <w:tcW w:type="dxa" w:w="5083"/>
            <w:vAlign w:val="center"/>
          </w:tcPr>
          <w:p>
            <w:pPr>
              <w:spacing w:after="30"/>
            </w:pPr>
            <w:r>
              <w:rPr>
                <w:rFonts w:ascii="Aptos" w:hAnsi="Aptos"/>
                <w:sz w:val="16"/>
              </w:rPr>
              <w:t>Schedule 6</w:t>
            </w:r>
          </w:p>
        </w:tc>
        <w:tc>
          <w:tcPr>
            <w:tcW w:type="dxa" w:w="5083"/>
            <w:vAlign w:val="center"/>
          </w:tcPr>
          <w:p>
            <w:pPr>
              <w:spacing w:after="30"/>
            </w:pPr>
            <w:r>
              <w:rPr>
                <w:rFonts w:ascii="Aptos" w:hAnsi="Aptos"/>
                <w:sz w:val="16"/>
              </w:rPr>
              <w:t>Acceptable Use Policy</w:t>
            </w:r>
          </w:p>
        </w:tc>
      </w:tr>
      <w:tr>
        <w:tc>
          <w:tcPr>
            <w:tcW w:type="dxa" w:w="5083"/>
            <w:vAlign w:val="center"/>
          </w:tcPr>
          <w:p>
            <w:pPr>
              <w:spacing w:after="30"/>
            </w:pPr>
            <w:r>
              <w:rPr>
                <w:rFonts w:ascii="Aptos" w:hAnsi="Aptos"/>
                <w:sz w:val="16"/>
              </w:rPr>
              <w:t>Schedule 7</w:t>
            </w:r>
          </w:p>
        </w:tc>
        <w:tc>
          <w:tcPr>
            <w:tcW w:type="dxa" w:w="5083"/>
            <w:vAlign w:val="center"/>
          </w:tcPr>
          <w:p>
            <w:pPr>
              <w:spacing w:after="30"/>
            </w:pPr>
            <w:r>
              <w:rPr>
                <w:rFonts w:ascii="Aptos" w:hAnsi="Aptos"/>
                <w:sz w:val="16"/>
              </w:rPr>
              <w:t>Third-Party Services and Subprocessors</w:t>
            </w:r>
          </w:p>
        </w:tc>
      </w:tr>
      <w:tr>
        <w:tc>
          <w:tcPr>
            <w:tcW w:type="dxa" w:w="5083"/>
            <w:vAlign w:val="center"/>
          </w:tcPr>
          <w:p>
            <w:pPr>
              <w:spacing w:after="30"/>
            </w:pPr>
            <w:r>
              <w:rPr>
                <w:rFonts w:ascii="Aptos" w:hAnsi="Aptos"/>
                <w:sz w:val="16"/>
              </w:rPr>
              <w:t>Schedule 8</w:t>
            </w:r>
          </w:p>
        </w:tc>
        <w:tc>
          <w:tcPr>
            <w:tcW w:type="dxa" w:w="5083"/>
            <w:vAlign w:val="center"/>
          </w:tcPr>
          <w:p>
            <w:pPr>
              <w:spacing w:after="30"/>
            </w:pPr>
            <w:r>
              <w:rPr>
                <w:rFonts w:ascii="Aptos" w:hAnsi="Aptos"/>
                <w:sz w:val="16"/>
              </w:rPr>
              <w:t>Data Return, Transition and Exit Assistance</w:t>
            </w:r>
          </w:p>
        </w:tc>
      </w:tr>
      <w:tr>
        <w:tc>
          <w:tcPr>
            <w:tcW w:type="dxa" w:w="5083"/>
            <w:vAlign w:val="center"/>
          </w:tcPr>
          <w:p>
            <w:pPr>
              <w:spacing w:after="30"/>
            </w:pPr>
            <w:r>
              <w:rPr>
                <w:rFonts w:ascii="Aptos" w:hAnsi="Aptos"/>
                <w:sz w:val="16"/>
              </w:rPr>
              <w:t>Schedule 9</w:t>
            </w:r>
          </w:p>
        </w:tc>
        <w:tc>
          <w:tcPr>
            <w:tcW w:type="dxa" w:w="5083"/>
            <w:vAlign w:val="center"/>
          </w:tcPr>
          <w:p>
            <w:pPr>
              <w:spacing w:after="30"/>
            </w:pPr>
            <w:r>
              <w:rPr>
                <w:rFonts w:ascii="Aptos" w:hAnsi="Aptos"/>
                <w:sz w:val="16"/>
              </w:rPr>
              <w:t>Execution and Notices</w:t>
            </w:r>
          </w:p>
        </w:tc>
      </w:tr>
    </w:tbl>
    <w:p>
      <w:pPr>
        <w:pStyle w:val="Small"/>
      </w:pPr>
      <w:r>
        <w:t>The Order Form and SOW prevail for client-specific commercial and implementation details. The DPA and Security Schedule prevail for processing and protection of Customer Data. The Master Terms govern all other matters.</w:t>
      </w:r>
    </w:p>
    <w:p>
      <w:r>
        <w:br w:type="page"/>
      </w:r>
    </w:p>
    <w:p>
      <w:pPr>
        <w:pStyle w:val="Heading1"/>
        <w:pBdr>
          <w:bottom w:val="single" w:sz="12" w:space="4" w:color="F97316"/>
        </w:pBdr>
      </w:pPr>
      <w:r>
        <w:t>PART A — MASTER SOFTWARE SUBSCRIPTION AND SERVICES TERMS</w:t>
      </w:r>
    </w:p>
    <w:p>
      <w:pPr>
        <w:pStyle w:val="Heading2"/>
      </w:pPr>
      <w:r>
        <w:t>Parties and Background</w:t>
      </w:r>
    </w:p>
    <w:p>
      <w:pPr>
        <w:pStyle w:val="Clause"/>
        <w:keepLines/>
      </w:pPr>
      <w:r>
        <w:t>This Master Software Subscription, Implementation, Support and Data Processing Agreement (the “Agreement”) is entered into on the Agreement Date stated in Schedule 1 between:</w:t>
      </w:r>
    </w:p>
    <w:p>
      <w:pPr>
        <w:pStyle w:val="ListBullet"/>
        <w:spacing w:after="40"/>
      </w:pPr>
      <w:r>
        <w:t>Finwell Growth Solutions Pvt. Ltd., a company incorporated under the Companies Act, 2013, having CIN U70200UP2025PTC223875, registered office at 992, Basement Pashupati, DA Grand, Civil Lines, Jhansi, Uttar Pradesh, India (“Finwell”); and</w:t>
      </w:r>
    </w:p>
    <w:p>
      <w:pPr>
        <w:pStyle w:val="ListBullet"/>
        <w:spacing w:after="40"/>
      </w:pPr>
      <w:r>
        <w:t>Taxmanntri Consultancy Private Limited, a Private Limited Company having U74120PN2021PTC204708 and registered/principal office at SR. NO. 52/1/1, WING A-2,  FLAT NO. 604,   OMKAR NANDAN, NA, PUNE, PUNE-411041, Maharashtra, India (“Client”).</w:t>
      </w:r>
    </w:p>
    <w:p>
      <w:pPr>
        <w:pStyle w:val="Clause"/>
        <w:keepLines/>
      </w:pPr>
      <w:r>
        <w:t>Finwell has developed and owns the proprietary business operations, workflow, accountability, reporting and management platform known as “Bizzomation”. The Client wishes to subscribe to and implement the Services for its internal business operations, and Finwell agrees to provide the Services subject to this Agreement, the applicable Order Form and SOW.</w:t>
      </w:r>
    </w:p>
    <w:p>
      <w:pPr>
        <w:pStyle w:val="Clause"/>
        <w:keepLines/>
      </w:pPr>
      <w:r>
        <w:t>Finwell and the Client are each a “Party” and together the “Parties”.</w:t>
      </w:r>
    </w:p>
    <w:p>
      <w:pPr>
        <w:pStyle w:val="Heading1"/>
        <w:pBdr>
          <w:bottom w:val="single" w:sz="12" w:space="4" w:color="F97316"/>
        </w:pBdr>
      </w:pPr>
      <w:r>
        <w:t>1. DEFINITIONS AND INTERPRETATION</w:t>
      </w:r>
    </w:p>
    <w:tbl>
      <w:tblPr>
        <w:tblStyle w:val="TableGrid"/>
        <w:tblW w:type="auto" w:w="0"/>
        <w:jc w:val="center"/>
        <w:tblLayout w:type="autofit"/>
        <w:tblLook w:firstColumn="1" w:firstRow="1" w:lastColumn="0" w:lastRow="0" w:noHBand="0" w:noVBand="1" w:val="04A0"/>
      </w:tblPr>
      <w:tblGrid>
        <w:gridCol w:w="5083"/>
        <w:gridCol w:w="5083"/>
      </w:tblGrid>
      <w:tr>
        <w:trPr>
          <w:tblHeader w:val="true"/>
        </w:trPr>
        <w:tc>
          <w:tcPr>
            <w:tcW w:type="dxa" w:w="5083"/>
            <w:shd w:fill="0B1F33"/>
            <w:vAlign w:val="center"/>
          </w:tcPr>
          <w:p>
            <w:pPr>
              <w:spacing w:after="30"/>
            </w:pPr>
            <w:r>
              <w:rPr>
                <w:rFonts w:ascii="Aptos" w:hAnsi="Aptos"/>
                <w:b/>
                <w:color w:val="FFFFFF"/>
                <w:sz w:val="16"/>
              </w:rPr>
              <w:t>Term</w:t>
            </w:r>
          </w:p>
        </w:tc>
        <w:tc>
          <w:tcPr>
            <w:tcW w:type="dxa" w:w="5083"/>
            <w:shd w:fill="0B1F33"/>
            <w:vAlign w:val="center"/>
          </w:tcPr>
          <w:p>
            <w:pPr>
              <w:spacing w:after="30"/>
            </w:pPr>
            <w:r>
              <w:rPr>
                <w:rFonts w:ascii="Aptos" w:hAnsi="Aptos"/>
                <w:b/>
                <w:color w:val="FFFFFF"/>
                <w:sz w:val="16"/>
              </w:rPr>
              <w:t>Meaning</w:t>
            </w:r>
          </w:p>
        </w:tc>
      </w:tr>
      <w:tr>
        <w:tc>
          <w:tcPr>
            <w:tcW w:type="dxa" w:w="5083"/>
            <w:tcMar>
              <w:top w:w="75" w:type="dxa"/>
              <w:start w:w="90" w:type="dxa"/>
              <w:bottom w:w="75" w:type="dxa"/>
              <w:end w:w="90" w:type="dxa"/>
            </w:tcMar>
            <w:vAlign w:val="center"/>
          </w:tcPr>
          <w:p>
            <w:pPr>
              <w:spacing w:after="30"/>
            </w:pPr>
            <w:r>
              <w:rPr>
                <w:rFonts w:ascii="Aptos" w:hAnsi="Aptos"/>
                <w:b/>
                <w:sz w:val="16"/>
              </w:rPr>
              <w:t>Acceptable Use Policy</w:t>
            </w:r>
          </w:p>
        </w:tc>
        <w:tc>
          <w:tcPr>
            <w:tcW w:type="dxa" w:w="5083"/>
            <w:tcMar>
              <w:top w:w="75" w:type="dxa"/>
              <w:start w:w="90" w:type="dxa"/>
              <w:bottom w:w="75" w:type="dxa"/>
              <w:end w:w="90" w:type="dxa"/>
            </w:tcMar>
            <w:vAlign w:val="center"/>
          </w:tcPr>
          <w:p>
            <w:pPr>
              <w:spacing w:after="30"/>
            </w:pPr>
            <w:r>
              <w:rPr>
                <w:rFonts w:ascii="Aptos" w:hAnsi="Aptos"/>
                <w:sz w:val="16"/>
              </w:rPr>
              <w:t>the acceptable-use requirements in Schedule 6, as updated only in accordance with this Agreement.</w:t>
            </w:r>
          </w:p>
        </w:tc>
      </w:tr>
      <w:tr>
        <w:tc>
          <w:tcPr>
            <w:tcW w:type="dxa" w:w="5083"/>
            <w:tcMar>
              <w:top w:w="75" w:type="dxa"/>
              <w:start w:w="90" w:type="dxa"/>
              <w:bottom w:w="75" w:type="dxa"/>
              <w:end w:w="90" w:type="dxa"/>
            </w:tcMar>
            <w:vAlign w:val="center"/>
          </w:tcPr>
          <w:p>
            <w:pPr>
              <w:spacing w:after="30"/>
            </w:pPr>
            <w:r>
              <w:rPr>
                <w:rFonts w:ascii="Aptos" w:hAnsi="Aptos"/>
                <w:b/>
                <w:sz w:val="16"/>
              </w:rPr>
              <w:t>Affiliate</w:t>
            </w:r>
          </w:p>
        </w:tc>
        <w:tc>
          <w:tcPr>
            <w:tcW w:type="dxa" w:w="5083"/>
            <w:tcMar>
              <w:top w:w="75" w:type="dxa"/>
              <w:start w:w="90" w:type="dxa"/>
              <w:bottom w:w="75" w:type="dxa"/>
              <w:end w:w="90" w:type="dxa"/>
            </w:tcMar>
            <w:vAlign w:val="center"/>
          </w:tcPr>
          <w:p>
            <w:pPr>
              <w:spacing w:after="30"/>
            </w:pPr>
            <w:r>
              <w:rPr>
                <w:rFonts w:ascii="Aptos" w:hAnsi="Aptos"/>
                <w:sz w:val="16"/>
              </w:rPr>
              <w:t>an entity that directly or indirectly controls, is controlled by, or is under common control with a Party.</w:t>
            </w:r>
          </w:p>
        </w:tc>
      </w:tr>
      <w:tr>
        <w:tc>
          <w:tcPr>
            <w:tcW w:type="dxa" w:w="5083"/>
            <w:tcMar>
              <w:top w:w="75" w:type="dxa"/>
              <w:start w:w="90" w:type="dxa"/>
              <w:bottom w:w="75" w:type="dxa"/>
              <w:end w:w="90" w:type="dxa"/>
            </w:tcMar>
            <w:vAlign w:val="center"/>
          </w:tcPr>
          <w:p>
            <w:pPr>
              <w:spacing w:after="30"/>
            </w:pPr>
            <w:r>
              <w:rPr>
                <w:rFonts w:ascii="Aptos" w:hAnsi="Aptos"/>
                <w:b/>
                <w:sz w:val="16"/>
              </w:rPr>
              <w:t>Agreement</w:t>
            </w:r>
          </w:p>
        </w:tc>
        <w:tc>
          <w:tcPr>
            <w:tcW w:type="dxa" w:w="5083"/>
            <w:tcMar>
              <w:top w:w="75" w:type="dxa"/>
              <w:start w:w="90" w:type="dxa"/>
              <w:bottom w:w="75" w:type="dxa"/>
              <w:end w:w="90" w:type="dxa"/>
            </w:tcMar>
            <w:vAlign w:val="center"/>
          </w:tcPr>
          <w:p>
            <w:pPr>
              <w:spacing w:after="30"/>
            </w:pPr>
            <w:r>
              <w:rPr>
                <w:rFonts w:ascii="Aptos" w:hAnsi="Aptos"/>
                <w:sz w:val="16"/>
              </w:rPr>
              <w:t>these Master Terms together with all signed Order Forms, SOWs, schedules and written amendments.</w:t>
            </w:r>
          </w:p>
        </w:tc>
      </w:tr>
      <w:tr>
        <w:tc>
          <w:tcPr>
            <w:tcW w:type="dxa" w:w="5083"/>
            <w:tcMar>
              <w:top w:w="75" w:type="dxa"/>
              <w:start w:w="90" w:type="dxa"/>
              <w:bottom w:w="75" w:type="dxa"/>
              <w:end w:w="90" w:type="dxa"/>
            </w:tcMar>
            <w:vAlign w:val="center"/>
          </w:tcPr>
          <w:p>
            <w:pPr>
              <w:spacing w:after="30"/>
            </w:pPr>
            <w:r>
              <w:rPr>
                <w:rFonts w:ascii="Aptos" w:hAnsi="Aptos"/>
                <w:b/>
                <w:sz w:val="16"/>
              </w:rPr>
              <w:t>Authorised User</w:t>
            </w:r>
          </w:p>
        </w:tc>
        <w:tc>
          <w:tcPr>
            <w:tcW w:type="dxa" w:w="5083"/>
            <w:tcMar>
              <w:top w:w="75" w:type="dxa"/>
              <w:start w:w="90" w:type="dxa"/>
              <w:bottom w:w="75" w:type="dxa"/>
              <w:end w:w="90" w:type="dxa"/>
            </w:tcMar>
            <w:vAlign w:val="center"/>
          </w:tcPr>
          <w:p>
            <w:pPr>
              <w:spacing w:after="30"/>
            </w:pPr>
            <w:r>
              <w:rPr>
                <w:rFonts w:ascii="Aptos" w:hAnsi="Aptos"/>
                <w:sz w:val="16"/>
              </w:rPr>
              <w:t>an employee, officer, contractor, adviser, client-side user or other person authorised by the Client within the purchased scope and issued valid access credentials.</w:t>
            </w:r>
          </w:p>
        </w:tc>
      </w:tr>
      <w:tr>
        <w:tc>
          <w:tcPr>
            <w:tcW w:type="dxa" w:w="5083"/>
            <w:tcMar>
              <w:top w:w="75" w:type="dxa"/>
              <w:start w:w="90" w:type="dxa"/>
              <w:bottom w:w="75" w:type="dxa"/>
              <w:end w:w="90" w:type="dxa"/>
            </w:tcMar>
            <w:vAlign w:val="center"/>
          </w:tcPr>
          <w:p>
            <w:pPr>
              <w:spacing w:after="30"/>
            </w:pPr>
            <w:r>
              <w:rPr>
                <w:rFonts w:ascii="Aptos" w:hAnsi="Aptos"/>
                <w:b/>
                <w:sz w:val="16"/>
              </w:rPr>
              <w:t>Bizzomation IP</w:t>
            </w:r>
          </w:p>
        </w:tc>
        <w:tc>
          <w:tcPr>
            <w:tcW w:type="dxa" w:w="5083"/>
            <w:tcMar>
              <w:top w:w="75" w:type="dxa"/>
              <w:start w:w="90" w:type="dxa"/>
              <w:bottom w:w="75" w:type="dxa"/>
              <w:end w:w="90" w:type="dxa"/>
            </w:tcMar>
            <w:vAlign w:val="center"/>
          </w:tcPr>
          <w:p>
            <w:pPr>
              <w:spacing w:after="30"/>
            </w:pPr>
            <w:r>
              <w:rPr>
                <w:rFonts w:ascii="Aptos" w:hAnsi="Aptos"/>
                <w:sz w:val="16"/>
              </w:rPr>
              <w:t>the Platform, software, source and object code, architecture, algorithms, UI/UX, scoring logic, templates, workflow libraries, documentation, trademarks, know-how, methods, modifications and derivative works owned or licensed by Finwell.</w:t>
            </w:r>
          </w:p>
        </w:tc>
      </w:tr>
      <w:tr>
        <w:tc>
          <w:tcPr>
            <w:tcW w:type="dxa" w:w="5083"/>
            <w:tcMar>
              <w:top w:w="75" w:type="dxa"/>
              <w:start w:w="90" w:type="dxa"/>
              <w:bottom w:w="75" w:type="dxa"/>
              <w:end w:w="90" w:type="dxa"/>
            </w:tcMar>
            <w:vAlign w:val="center"/>
          </w:tcPr>
          <w:p>
            <w:pPr>
              <w:spacing w:after="30"/>
            </w:pPr>
            <w:r>
              <w:rPr>
                <w:rFonts w:ascii="Aptos" w:hAnsi="Aptos"/>
                <w:b/>
                <w:sz w:val="16"/>
              </w:rPr>
              <w:t>Business Day</w:t>
            </w:r>
          </w:p>
        </w:tc>
        <w:tc>
          <w:tcPr>
            <w:tcW w:type="dxa" w:w="5083"/>
            <w:tcMar>
              <w:top w:w="75" w:type="dxa"/>
              <w:start w:w="90" w:type="dxa"/>
              <w:bottom w:w="75" w:type="dxa"/>
              <w:end w:w="90" w:type="dxa"/>
            </w:tcMar>
            <w:vAlign w:val="center"/>
          </w:tcPr>
          <w:p>
            <w:pPr>
              <w:spacing w:after="30"/>
            </w:pPr>
            <w:r>
              <w:rPr>
                <w:rFonts w:ascii="Aptos" w:hAnsi="Aptos"/>
                <w:sz w:val="16"/>
              </w:rPr>
              <w:t>a day other than Saturday, Sunday or a public holiday in Uttar Pradesh, India.</w:t>
            </w:r>
          </w:p>
        </w:tc>
      </w:tr>
      <w:tr>
        <w:tc>
          <w:tcPr>
            <w:tcW w:type="dxa" w:w="5083"/>
            <w:tcMar>
              <w:top w:w="75" w:type="dxa"/>
              <w:start w:w="90" w:type="dxa"/>
              <w:bottom w:w="75" w:type="dxa"/>
              <w:end w:w="90" w:type="dxa"/>
            </w:tcMar>
            <w:vAlign w:val="center"/>
          </w:tcPr>
          <w:p>
            <w:pPr>
              <w:spacing w:after="30"/>
            </w:pPr>
            <w:r>
              <w:rPr>
                <w:rFonts w:ascii="Aptos" w:hAnsi="Aptos"/>
                <w:b/>
                <w:sz w:val="16"/>
              </w:rPr>
              <w:t>Confidential Information</w:t>
            </w:r>
          </w:p>
        </w:tc>
        <w:tc>
          <w:tcPr>
            <w:tcW w:type="dxa" w:w="5083"/>
            <w:tcMar>
              <w:top w:w="75" w:type="dxa"/>
              <w:start w:w="90" w:type="dxa"/>
              <w:bottom w:w="75" w:type="dxa"/>
              <w:end w:w="90" w:type="dxa"/>
            </w:tcMar>
            <w:vAlign w:val="center"/>
          </w:tcPr>
          <w:p>
            <w:pPr>
              <w:spacing w:after="30"/>
            </w:pPr>
            <w:r>
              <w:rPr>
                <w:rFonts w:ascii="Aptos" w:hAnsi="Aptos"/>
                <w:sz w:val="16"/>
              </w:rPr>
              <w:t>non-public technical, commercial, financial, operational, security, personal or other information disclosed by or on behalf of a Party, including Customer Data and Bizzomation IP.</w:t>
            </w:r>
          </w:p>
        </w:tc>
      </w:tr>
      <w:tr>
        <w:tc>
          <w:tcPr>
            <w:tcW w:type="dxa" w:w="5083"/>
            <w:tcMar>
              <w:top w:w="75" w:type="dxa"/>
              <w:start w:w="90" w:type="dxa"/>
              <w:bottom w:w="75" w:type="dxa"/>
              <w:end w:w="90" w:type="dxa"/>
            </w:tcMar>
            <w:vAlign w:val="center"/>
          </w:tcPr>
          <w:p>
            <w:pPr>
              <w:spacing w:after="30"/>
            </w:pPr>
            <w:r>
              <w:rPr>
                <w:rFonts w:ascii="Aptos" w:hAnsi="Aptos"/>
                <w:b/>
                <w:sz w:val="16"/>
              </w:rPr>
              <w:t>Customer Data</w:t>
            </w:r>
          </w:p>
        </w:tc>
        <w:tc>
          <w:tcPr>
            <w:tcW w:type="dxa" w:w="5083"/>
            <w:tcMar>
              <w:top w:w="75" w:type="dxa"/>
              <w:start w:w="90" w:type="dxa"/>
              <w:bottom w:w="75" w:type="dxa"/>
              <w:end w:w="90" w:type="dxa"/>
            </w:tcMar>
            <w:vAlign w:val="center"/>
          </w:tcPr>
          <w:p>
            <w:pPr>
              <w:spacing w:after="30"/>
            </w:pPr>
            <w:r>
              <w:rPr>
                <w:rFonts w:ascii="Aptos" w:hAnsi="Aptos"/>
                <w:sz w:val="16"/>
              </w:rPr>
              <w:t>all data, records, files, documents, communications, personal data, financial data, employee data, client data and other content submitted to, transmitted through, generated from, or processed by the Services on behalf of the Client, excluding Usage Data and Bizzomation IP.</w:t>
            </w:r>
          </w:p>
        </w:tc>
      </w:tr>
      <w:tr>
        <w:tc>
          <w:tcPr>
            <w:tcW w:type="dxa" w:w="5083"/>
            <w:tcMar>
              <w:top w:w="75" w:type="dxa"/>
              <w:start w:w="90" w:type="dxa"/>
              <w:bottom w:w="75" w:type="dxa"/>
              <w:end w:w="90" w:type="dxa"/>
            </w:tcMar>
            <w:vAlign w:val="center"/>
          </w:tcPr>
          <w:p>
            <w:pPr>
              <w:spacing w:after="30"/>
            </w:pPr>
            <w:r>
              <w:rPr>
                <w:rFonts w:ascii="Aptos" w:hAnsi="Aptos"/>
                <w:b/>
                <w:sz w:val="16"/>
              </w:rPr>
              <w:t>Data Protection Laws</w:t>
            </w:r>
          </w:p>
        </w:tc>
        <w:tc>
          <w:tcPr>
            <w:tcW w:type="dxa" w:w="5083"/>
            <w:tcMar>
              <w:top w:w="75" w:type="dxa"/>
              <w:start w:w="90" w:type="dxa"/>
              <w:bottom w:w="75" w:type="dxa"/>
              <w:end w:w="90" w:type="dxa"/>
            </w:tcMar>
            <w:vAlign w:val="center"/>
          </w:tcPr>
          <w:p>
            <w:pPr>
              <w:spacing w:after="30"/>
            </w:pPr>
            <w:r>
              <w:rPr>
                <w:rFonts w:ascii="Aptos" w:hAnsi="Aptos"/>
                <w:sz w:val="16"/>
              </w:rPr>
              <w:t>the Digital Personal Data Protection Act, 2023, rules and notifications thereunder, and other applicable privacy or data-protection laws.</w:t>
            </w:r>
          </w:p>
        </w:tc>
      </w:tr>
      <w:tr>
        <w:tc>
          <w:tcPr>
            <w:tcW w:type="dxa" w:w="5083"/>
            <w:tcMar>
              <w:top w:w="75" w:type="dxa"/>
              <w:start w:w="90" w:type="dxa"/>
              <w:bottom w:w="75" w:type="dxa"/>
              <w:end w:w="90" w:type="dxa"/>
            </w:tcMar>
            <w:vAlign w:val="center"/>
          </w:tcPr>
          <w:p>
            <w:pPr>
              <w:spacing w:after="30"/>
            </w:pPr>
            <w:r>
              <w:rPr>
                <w:rFonts w:ascii="Aptos" w:hAnsi="Aptos"/>
                <w:b/>
                <w:sz w:val="16"/>
              </w:rPr>
              <w:t>Documentation</w:t>
            </w:r>
          </w:p>
        </w:tc>
        <w:tc>
          <w:tcPr>
            <w:tcW w:type="dxa" w:w="5083"/>
            <w:tcMar>
              <w:top w:w="75" w:type="dxa"/>
              <w:start w:w="90" w:type="dxa"/>
              <w:bottom w:w="75" w:type="dxa"/>
              <w:end w:w="90" w:type="dxa"/>
            </w:tcMar>
            <w:vAlign w:val="center"/>
          </w:tcPr>
          <w:p>
            <w:pPr>
              <w:spacing w:after="30"/>
            </w:pPr>
            <w:r>
              <w:rPr>
                <w:rFonts w:ascii="Aptos" w:hAnsi="Aptos"/>
                <w:sz w:val="16"/>
              </w:rPr>
              <w:t>Finwell’s current user guides, implementation materials and operating instructions made available for the Services.</w:t>
            </w:r>
          </w:p>
        </w:tc>
      </w:tr>
      <w:tr>
        <w:tc>
          <w:tcPr>
            <w:tcW w:type="dxa" w:w="5083"/>
            <w:tcMar>
              <w:top w:w="75" w:type="dxa"/>
              <w:start w:w="90" w:type="dxa"/>
              <w:bottom w:w="75" w:type="dxa"/>
              <w:end w:w="90" w:type="dxa"/>
            </w:tcMar>
            <w:vAlign w:val="center"/>
          </w:tcPr>
          <w:p>
            <w:pPr>
              <w:spacing w:after="30"/>
            </w:pPr>
            <w:r>
              <w:rPr>
                <w:rFonts w:ascii="Aptos" w:hAnsi="Aptos"/>
                <w:b/>
                <w:sz w:val="16"/>
              </w:rPr>
              <w:t>Fees</w:t>
            </w:r>
          </w:p>
        </w:tc>
        <w:tc>
          <w:tcPr>
            <w:tcW w:type="dxa" w:w="5083"/>
            <w:tcMar>
              <w:top w:w="75" w:type="dxa"/>
              <w:start w:w="90" w:type="dxa"/>
              <w:bottom w:w="75" w:type="dxa"/>
              <w:end w:w="90" w:type="dxa"/>
            </w:tcMar>
            <w:vAlign w:val="center"/>
          </w:tcPr>
          <w:p>
            <w:pPr>
              <w:spacing w:after="30"/>
            </w:pPr>
            <w:r>
              <w:rPr>
                <w:rFonts w:ascii="Aptos" w:hAnsi="Aptos"/>
                <w:sz w:val="16"/>
              </w:rPr>
              <w:t>all licence, subscription, implementation, professional-service, usage, integration, support and other charges under an Order Form or SOW.</w:t>
            </w:r>
          </w:p>
        </w:tc>
      </w:tr>
      <w:tr>
        <w:tc>
          <w:tcPr>
            <w:tcW w:type="dxa" w:w="5083"/>
            <w:tcMar>
              <w:top w:w="75" w:type="dxa"/>
              <w:start w:w="90" w:type="dxa"/>
              <w:bottom w:w="75" w:type="dxa"/>
              <w:end w:w="90" w:type="dxa"/>
            </w:tcMar>
            <w:vAlign w:val="center"/>
          </w:tcPr>
          <w:p>
            <w:pPr>
              <w:spacing w:after="30"/>
            </w:pPr>
            <w:r>
              <w:rPr>
                <w:rFonts w:ascii="Aptos" w:hAnsi="Aptos"/>
                <w:b/>
                <w:sz w:val="16"/>
              </w:rPr>
              <w:t>Initial Term</w:t>
            </w:r>
          </w:p>
        </w:tc>
        <w:tc>
          <w:tcPr>
            <w:tcW w:type="dxa" w:w="5083"/>
            <w:tcMar>
              <w:top w:w="75" w:type="dxa"/>
              <w:start w:w="90" w:type="dxa"/>
              <w:bottom w:w="75" w:type="dxa"/>
              <w:end w:w="90" w:type="dxa"/>
            </w:tcMar>
            <w:vAlign w:val="center"/>
          </w:tcPr>
          <w:p>
            <w:pPr>
              <w:spacing w:after="30"/>
            </w:pPr>
            <w:r>
              <w:rPr>
                <w:rFonts w:ascii="Aptos" w:hAnsi="Aptos"/>
                <w:sz w:val="16"/>
              </w:rPr>
              <w:t>the initial subscription term specified in the Order Form.</w:t>
            </w:r>
          </w:p>
        </w:tc>
      </w:tr>
      <w:tr>
        <w:tc>
          <w:tcPr>
            <w:tcW w:type="dxa" w:w="5083"/>
            <w:tcMar>
              <w:top w:w="75" w:type="dxa"/>
              <w:start w:w="90" w:type="dxa"/>
              <w:bottom w:w="75" w:type="dxa"/>
              <w:end w:w="90" w:type="dxa"/>
            </w:tcMar>
            <w:vAlign w:val="center"/>
          </w:tcPr>
          <w:p>
            <w:pPr>
              <w:spacing w:after="30"/>
            </w:pPr>
            <w:r>
              <w:rPr>
                <w:rFonts w:ascii="Aptos" w:hAnsi="Aptos"/>
                <w:b/>
                <w:sz w:val="16"/>
              </w:rPr>
              <w:t>Order Form</w:t>
            </w:r>
          </w:p>
        </w:tc>
        <w:tc>
          <w:tcPr>
            <w:tcW w:type="dxa" w:w="5083"/>
            <w:tcMar>
              <w:top w:w="75" w:type="dxa"/>
              <w:start w:w="90" w:type="dxa"/>
              <w:bottom w:w="75" w:type="dxa"/>
              <w:end w:w="90" w:type="dxa"/>
            </w:tcMar>
            <w:vAlign w:val="center"/>
          </w:tcPr>
          <w:p>
            <w:pPr>
              <w:spacing w:after="30"/>
            </w:pPr>
            <w:r>
              <w:rPr>
                <w:rFonts w:ascii="Aptos" w:hAnsi="Aptos"/>
                <w:sz w:val="16"/>
              </w:rPr>
              <w:t>the signed commercial order substantially in the format of Schedule 1.</w:t>
            </w:r>
          </w:p>
        </w:tc>
      </w:tr>
      <w:tr>
        <w:tc>
          <w:tcPr>
            <w:tcW w:type="dxa" w:w="5083"/>
            <w:tcMar>
              <w:top w:w="75" w:type="dxa"/>
              <w:start w:w="90" w:type="dxa"/>
              <w:bottom w:w="75" w:type="dxa"/>
              <w:end w:w="90" w:type="dxa"/>
            </w:tcMar>
            <w:vAlign w:val="center"/>
          </w:tcPr>
          <w:p>
            <w:pPr>
              <w:spacing w:after="30"/>
            </w:pPr>
            <w:r>
              <w:rPr>
                <w:rFonts w:ascii="Aptos" w:hAnsi="Aptos"/>
                <w:b/>
                <w:sz w:val="16"/>
              </w:rPr>
              <w:t>Personal Data</w:t>
            </w:r>
          </w:p>
        </w:tc>
        <w:tc>
          <w:tcPr>
            <w:tcW w:type="dxa" w:w="5083"/>
            <w:tcMar>
              <w:top w:w="75" w:type="dxa"/>
              <w:start w:w="90" w:type="dxa"/>
              <w:bottom w:w="75" w:type="dxa"/>
              <w:end w:w="90" w:type="dxa"/>
            </w:tcMar>
            <w:vAlign w:val="center"/>
          </w:tcPr>
          <w:p>
            <w:pPr>
              <w:spacing w:after="30"/>
            </w:pPr>
            <w:r>
              <w:rPr>
                <w:rFonts w:ascii="Aptos" w:hAnsi="Aptos"/>
                <w:sz w:val="16"/>
              </w:rPr>
              <w:t>digital personal data as understood under applicable Data Protection Laws.</w:t>
            </w:r>
          </w:p>
        </w:tc>
      </w:tr>
      <w:tr>
        <w:tc>
          <w:tcPr>
            <w:tcW w:type="dxa" w:w="5083"/>
            <w:tcMar>
              <w:top w:w="75" w:type="dxa"/>
              <w:start w:w="90" w:type="dxa"/>
              <w:bottom w:w="75" w:type="dxa"/>
              <w:end w:w="90" w:type="dxa"/>
            </w:tcMar>
            <w:vAlign w:val="center"/>
          </w:tcPr>
          <w:p>
            <w:pPr>
              <w:spacing w:after="30"/>
            </w:pPr>
            <w:r>
              <w:rPr>
                <w:rFonts w:ascii="Aptos" w:hAnsi="Aptos"/>
                <w:b/>
                <w:sz w:val="16"/>
              </w:rPr>
              <w:t>Platform</w:t>
            </w:r>
          </w:p>
        </w:tc>
        <w:tc>
          <w:tcPr>
            <w:tcW w:type="dxa" w:w="5083"/>
            <w:tcMar>
              <w:top w:w="75" w:type="dxa"/>
              <w:start w:w="90" w:type="dxa"/>
              <w:bottom w:w="75" w:type="dxa"/>
              <w:end w:w="90" w:type="dxa"/>
            </w:tcMar>
            <w:vAlign w:val="center"/>
          </w:tcPr>
          <w:p>
            <w:pPr>
              <w:spacing w:after="30"/>
            </w:pPr>
            <w:r>
              <w:rPr>
                <w:rFonts w:ascii="Aptos" w:hAnsi="Aptos"/>
                <w:sz w:val="16"/>
              </w:rPr>
              <w:t>the Bizzomation web application, mobile application, portals, modules, dashboards and related hosted services purchased by the Client.</w:t>
            </w:r>
          </w:p>
        </w:tc>
      </w:tr>
      <w:tr>
        <w:tc>
          <w:tcPr>
            <w:tcW w:type="dxa" w:w="5083"/>
            <w:tcMar>
              <w:top w:w="75" w:type="dxa"/>
              <w:start w:w="90" w:type="dxa"/>
              <w:bottom w:w="75" w:type="dxa"/>
              <w:end w:w="90" w:type="dxa"/>
            </w:tcMar>
            <w:vAlign w:val="center"/>
          </w:tcPr>
          <w:p>
            <w:pPr>
              <w:spacing w:after="30"/>
            </w:pPr>
            <w:r>
              <w:rPr>
                <w:rFonts w:ascii="Aptos" w:hAnsi="Aptos"/>
                <w:b/>
                <w:sz w:val="16"/>
              </w:rPr>
              <w:t>Professional Services</w:t>
            </w:r>
          </w:p>
        </w:tc>
        <w:tc>
          <w:tcPr>
            <w:tcW w:type="dxa" w:w="5083"/>
            <w:tcMar>
              <w:top w:w="75" w:type="dxa"/>
              <w:start w:w="90" w:type="dxa"/>
              <w:bottom w:w="75" w:type="dxa"/>
              <w:end w:w="90" w:type="dxa"/>
            </w:tcMar>
            <w:vAlign w:val="center"/>
          </w:tcPr>
          <w:p>
            <w:pPr>
              <w:spacing w:after="30"/>
            </w:pPr>
            <w:r>
              <w:rPr>
                <w:rFonts w:ascii="Aptos" w:hAnsi="Aptos"/>
                <w:sz w:val="16"/>
              </w:rPr>
              <w:t>implementation, configuration, process mapping, training, integration, support, consultancy, migration and other services described in a SOW.</w:t>
            </w:r>
          </w:p>
        </w:tc>
      </w:tr>
      <w:tr>
        <w:tc>
          <w:tcPr>
            <w:tcW w:type="dxa" w:w="5083"/>
            <w:tcMar>
              <w:top w:w="75" w:type="dxa"/>
              <w:start w:w="90" w:type="dxa"/>
              <w:bottom w:w="75" w:type="dxa"/>
              <w:end w:w="90" w:type="dxa"/>
            </w:tcMar>
            <w:vAlign w:val="center"/>
          </w:tcPr>
          <w:p>
            <w:pPr>
              <w:spacing w:after="30"/>
            </w:pPr>
            <w:r>
              <w:rPr>
                <w:rFonts w:ascii="Aptos" w:hAnsi="Aptos"/>
                <w:b/>
                <w:sz w:val="16"/>
              </w:rPr>
              <w:t>Security Incident</w:t>
            </w:r>
          </w:p>
        </w:tc>
        <w:tc>
          <w:tcPr>
            <w:tcW w:type="dxa" w:w="5083"/>
            <w:tcMar>
              <w:top w:w="75" w:type="dxa"/>
              <w:start w:w="90" w:type="dxa"/>
              <w:bottom w:w="75" w:type="dxa"/>
              <w:end w:w="90" w:type="dxa"/>
            </w:tcMar>
            <w:vAlign w:val="center"/>
          </w:tcPr>
          <w:p>
            <w:pPr>
              <w:spacing w:after="30"/>
            </w:pPr>
            <w:r>
              <w:rPr>
                <w:rFonts w:ascii="Aptos" w:hAnsi="Aptos"/>
                <w:sz w:val="16"/>
              </w:rPr>
              <w:t>an actual confirmed unauthorised access to, acquisition, alteration, disclosure, loss or destruction of Customer Data in Finwell’s control, excluding unsuccessful attempts that do not compromise Customer Data.</w:t>
            </w:r>
          </w:p>
        </w:tc>
      </w:tr>
      <w:tr>
        <w:tc>
          <w:tcPr>
            <w:tcW w:type="dxa" w:w="5083"/>
            <w:tcMar>
              <w:top w:w="75" w:type="dxa"/>
              <w:start w:w="90" w:type="dxa"/>
              <w:bottom w:w="75" w:type="dxa"/>
              <w:end w:w="90" w:type="dxa"/>
            </w:tcMar>
            <w:vAlign w:val="center"/>
          </w:tcPr>
          <w:p>
            <w:pPr>
              <w:spacing w:after="30"/>
            </w:pPr>
            <w:r>
              <w:rPr>
                <w:rFonts w:ascii="Aptos" w:hAnsi="Aptos"/>
                <w:b/>
                <w:sz w:val="16"/>
              </w:rPr>
              <w:t>Services</w:t>
            </w:r>
          </w:p>
        </w:tc>
        <w:tc>
          <w:tcPr>
            <w:tcW w:type="dxa" w:w="5083"/>
            <w:tcMar>
              <w:top w:w="75" w:type="dxa"/>
              <w:start w:w="90" w:type="dxa"/>
              <w:bottom w:w="75" w:type="dxa"/>
              <w:end w:w="90" w:type="dxa"/>
            </w:tcMar>
            <w:vAlign w:val="center"/>
          </w:tcPr>
          <w:p>
            <w:pPr>
              <w:spacing w:after="30"/>
            </w:pPr>
            <w:r>
              <w:rPr>
                <w:rFonts w:ascii="Aptos" w:hAnsi="Aptos"/>
                <w:sz w:val="16"/>
              </w:rPr>
              <w:t>the Platform and Professional Services purchased under an Order Form or SOW.</w:t>
            </w:r>
          </w:p>
        </w:tc>
      </w:tr>
      <w:tr>
        <w:tc>
          <w:tcPr>
            <w:tcW w:type="dxa" w:w="5083"/>
            <w:tcMar>
              <w:top w:w="75" w:type="dxa"/>
              <w:start w:w="90" w:type="dxa"/>
              <w:bottom w:w="75" w:type="dxa"/>
              <w:end w:w="90" w:type="dxa"/>
            </w:tcMar>
            <w:vAlign w:val="center"/>
          </w:tcPr>
          <w:p>
            <w:pPr>
              <w:spacing w:after="30"/>
            </w:pPr>
            <w:r>
              <w:rPr>
                <w:rFonts w:ascii="Aptos" w:hAnsi="Aptos"/>
                <w:b/>
                <w:sz w:val="16"/>
              </w:rPr>
              <w:t>SOW</w:t>
            </w:r>
          </w:p>
        </w:tc>
        <w:tc>
          <w:tcPr>
            <w:tcW w:type="dxa" w:w="5083"/>
            <w:tcMar>
              <w:top w:w="75" w:type="dxa"/>
              <w:start w:w="90" w:type="dxa"/>
              <w:bottom w:w="75" w:type="dxa"/>
              <w:end w:w="90" w:type="dxa"/>
            </w:tcMar>
            <w:vAlign w:val="center"/>
          </w:tcPr>
          <w:p>
            <w:pPr>
              <w:spacing w:after="30"/>
            </w:pPr>
            <w:r>
              <w:rPr>
                <w:rFonts w:ascii="Aptos" w:hAnsi="Aptos"/>
                <w:sz w:val="16"/>
              </w:rPr>
              <w:t>a statement of work substantially in the format of Schedule 2.</w:t>
            </w:r>
          </w:p>
        </w:tc>
      </w:tr>
      <w:tr>
        <w:tc>
          <w:tcPr>
            <w:tcW w:type="dxa" w:w="5083"/>
            <w:tcMar>
              <w:top w:w="75" w:type="dxa"/>
              <w:start w:w="90" w:type="dxa"/>
              <w:bottom w:w="75" w:type="dxa"/>
              <w:end w:w="90" w:type="dxa"/>
            </w:tcMar>
            <w:vAlign w:val="center"/>
          </w:tcPr>
          <w:p>
            <w:pPr>
              <w:spacing w:after="30"/>
            </w:pPr>
            <w:r>
              <w:rPr>
                <w:rFonts w:ascii="Aptos" w:hAnsi="Aptos"/>
                <w:b/>
                <w:sz w:val="16"/>
              </w:rPr>
              <w:t>Subscription Term</w:t>
            </w:r>
          </w:p>
        </w:tc>
        <w:tc>
          <w:tcPr>
            <w:tcW w:type="dxa" w:w="5083"/>
            <w:tcMar>
              <w:top w:w="75" w:type="dxa"/>
              <w:start w:w="90" w:type="dxa"/>
              <w:bottom w:w="75" w:type="dxa"/>
              <w:end w:w="90" w:type="dxa"/>
            </w:tcMar>
            <w:vAlign w:val="center"/>
          </w:tcPr>
          <w:p>
            <w:pPr>
              <w:spacing w:after="30"/>
            </w:pPr>
            <w:r>
              <w:rPr>
                <w:rFonts w:ascii="Aptos" w:hAnsi="Aptos"/>
                <w:sz w:val="16"/>
              </w:rPr>
              <w:t>the Initial Term and any renewal term.</w:t>
            </w:r>
          </w:p>
        </w:tc>
      </w:tr>
      <w:tr>
        <w:tc>
          <w:tcPr>
            <w:tcW w:type="dxa" w:w="5083"/>
            <w:tcMar>
              <w:top w:w="75" w:type="dxa"/>
              <w:start w:w="90" w:type="dxa"/>
              <w:bottom w:w="75" w:type="dxa"/>
              <w:end w:w="90" w:type="dxa"/>
            </w:tcMar>
            <w:vAlign w:val="center"/>
          </w:tcPr>
          <w:p>
            <w:pPr>
              <w:spacing w:after="30"/>
            </w:pPr>
            <w:r>
              <w:rPr>
                <w:rFonts w:ascii="Aptos" w:hAnsi="Aptos"/>
                <w:b/>
                <w:sz w:val="16"/>
              </w:rPr>
              <w:t>Third-Party Service</w:t>
            </w:r>
          </w:p>
        </w:tc>
        <w:tc>
          <w:tcPr>
            <w:tcW w:type="dxa" w:w="5083"/>
            <w:tcMar>
              <w:top w:w="75" w:type="dxa"/>
              <w:start w:w="90" w:type="dxa"/>
              <w:bottom w:w="75" w:type="dxa"/>
              <w:end w:w="90" w:type="dxa"/>
            </w:tcMar>
            <w:vAlign w:val="center"/>
          </w:tcPr>
          <w:p>
            <w:pPr>
              <w:spacing w:after="30"/>
            </w:pPr>
            <w:r>
              <w:rPr>
                <w:rFonts w:ascii="Aptos" w:hAnsi="Aptos"/>
                <w:sz w:val="16"/>
              </w:rPr>
              <w:t>a product, network, carrier, API, integration, hosting component, communication service or software not owned and controlled by Finwell.</w:t>
            </w:r>
          </w:p>
        </w:tc>
      </w:tr>
      <w:tr>
        <w:tc>
          <w:tcPr>
            <w:tcW w:type="dxa" w:w="5083"/>
            <w:tcMar>
              <w:top w:w="75" w:type="dxa"/>
              <w:start w:w="90" w:type="dxa"/>
              <w:bottom w:w="75" w:type="dxa"/>
              <w:end w:w="90" w:type="dxa"/>
            </w:tcMar>
            <w:vAlign w:val="center"/>
          </w:tcPr>
          <w:p>
            <w:pPr>
              <w:spacing w:after="30"/>
            </w:pPr>
            <w:r>
              <w:rPr>
                <w:rFonts w:ascii="Aptos" w:hAnsi="Aptos"/>
                <w:b/>
                <w:sz w:val="16"/>
              </w:rPr>
              <w:t>Usage Data</w:t>
            </w:r>
          </w:p>
        </w:tc>
        <w:tc>
          <w:tcPr>
            <w:tcW w:type="dxa" w:w="5083"/>
            <w:tcMar>
              <w:top w:w="75" w:type="dxa"/>
              <w:start w:w="90" w:type="dxa"/>
              <w:bottom w:w="75" w:type="dxa"/>
              <w:end w:w="90" w:type="dxa"/>
            </w:tcMar>
            <w:vAlign w:val="center"/>
          </w:tcPr>
          <w:p>
            <w:pPr>
              <w:spacing w:after="30"/>
            </w:pPr>
            <w:r>
              <w:rPr>
                <w:rFonts w:ascii="Aptos" w:hAnsi="Aptos"/>
                <w:sz w:val="16"/>
              </w:rPr>
              <w:t>technical, diagnostic, security, telemetry and usage information about operation of the Platform, excluding identifiable Customer Data except where necessary for support, security or legal compliance.</w:t>
            </w:r>
          </w:p>
        </w:tc>
      </w:tr>
    </w:tbl>
    <w:p>
      <w:pPr>
        <w:pStyle w:val="Clause"/>
        <w:keepLines/>
      </w:pPr>
      <w:r>
        <w:t>Headings are for convenience only. “Including” means including without limitation. A reference to law includes amendments, replacements and subordinate legislation. If there is a conflict, the following order applies: signed amendment; DPA for Personal Data; Security Schedule for security matters; Order Form; SOW; these Master Terms; remaining schedules.</w:t>
      </w:r>
    </w:p>
    <w:p>
      <w:pPr>
        <w:pStyle w:val="Heading1"/>
        <w:pBdr>
          <w:bottom w:val="single" w:sz="12" w:space="4" w:color="F97316"/>
        </w:pBdr>
      </w:pPr>
      <w:r>
        <w:t>2. SUBSCRIPTION, LICENCE AND ACCESS RIGHTS</w:t>
      </w:r>
    </w:p>
    <w:p>
      <w:pPr>
        <w:pStyle w:val="Clause"/>
        <w:keepLines/>
      </w:pPr>
      <w:r>
        <w:t>2.1 Subject to payment of Fees and compliance with this Agreement, Finwell grants the Client during the Subscription Term a limited, non-exclusive, non-transferable, non-sublicensable right for Authorised Users to access and use the purchased Services solely for the Client’s internal business operations and only within the entity, user, module, portal, FMS-template, location and usage limits stated in the Order Form.</w:t>
      </w:r>
    </w:p>
    <w:p>
      <w:pPr>
        <w:pStyle w:val="Clause"/>
        <w:keepLines/>
      </w:pPr>
      <w:r>
        <w:t>2.2 Client portals may be made available to the Client’s customers or stakeholders only where expressly included in the Order Form. The Client remains responsible for all such users and for ensuring that their access is lawful, appropriate and limited.</w:t>
      </w:r>
    </w:p>
    <w:p>
      <w:pPr>
        <w:pStyle w:val="Clause"/>
        <w:keepLines/>
      </w:pPr>
      <w:r>
        <w:t>2.3 No source code, ownership right, implied licence, resale right, franchise right, distribution right or right to provide bureau, outsourcing, hosted or managed services to third parties is granted unless expressly stated in a separate partner or reseller agreement.</w:t>
      </w:r>
    </w:p>
    <w:p>
      <w:pPr>
        <w:pStyle w:val="Clause"/>
        <w:keepLines/>
      </w:pPr>
      <w:r>
        <w:t>2.4 Finwell may issue administrator credentials to nominated Client personnel. The Client is responsible for account administration, role configuration, user onboarding and offboarding, credential security, and all activity through its accounts except to the extent directly caused by Finwell’s breach.</w:t>
      </w:r>
    </w:p>
    <w:p>
      <w:pPr>
        <w:pStyle w:val="Clause"/>
        <w:keepLines/>
      </w:pPr>
      <w:r>
        <w:t>2.5 Finwell may improve, modify or replace features, provided it does not materially reduce the core functionality purchased during the then-current paid term. Materially distinct new modules may be separately priced.</w:t>
      </w:r>
    </w:p>
    <w:p>
      <w:pPr>
        <w:pStyle w:val="Heading1"/>
        <w:pBdr>
          <w:bottom w:val="single" w:sz="12" w:space="4" w:color="F97316"/>
        </w:pBdr>
      </w:pPr>
      <w:r>
        <w:t>3. RESTRICTIONS AND ACCEPTABLE USE</w:t>
      </w:r>
    </w:p>
    <w:p>
      <w:pPr>
        <w:pStyle w:val="Clause"/>
        <w:keepLines/>
      </w:pPr>
      <w:r>
        <w:t>The Client shall not, and shall not permit any person to:</w:t>
      </w:r>
    </w:p>
    <w:p>
      <w:pPr>
        <w:pStyle w:val="ListBullet"/>
        <w:spacing w:after="40"/>
      </w:pPr>
      <w:r>
        <w:t>reverse engineer, decompile, disassemble, decode or attempt to derive the source code, non-public architecture, algorithms or underlying ideas of the Platform, except to the narrow extent a restriction is prohibited by law;</w:t>
      </w:r>
    </w:p>
    <w:p>
      <w:pPr>
        <w:pStyle w:val="ListBullet"/>
        <w:spacing w:after="40"/>
      </w:pPr>
      <w:r>
        <w:t>copy, modify, create derivative works of, translate, frame, mirror, scrape, republish or commercially exploit the Platform or Documentation;</w:t>
      </w:r>
    </w:p>
    <w:p>
      <w:pPr>
        <w:pStyle w:val="ListBullet"/>
        <w:spacing w:after="40"/>
      </w:pPr>
      <w:r>
        <w:t>sell, resell, sublicense, rent, lease, distribute, white-label or make the Services available to any unauthorised third party;</w:t>
      </w:r>
    </w:p>
    <w:p>
      <w:pPr>
        <w:pStyle w:val="ListBullet"/>
        <w:spacing w:after="40"/>
      </w:pPr>
      <w:r>
        <w:t>circumvent user limits, access controls, security measures, licence keys, audit logs or technical restrictions;</w:t>
      </w:r>
    </w:p>
    <w:p>
      <w:pPr>
        <w:pStyle w:val="ListBullet"/>
        <w:spacing w:after="40"/>
      </w:pPr>
      <w:r>
        <w:t>use the Services to build, benchmark publicly, train or support a competing product, or publish performance or security test results without Finwell’s written consent;</w:t>
      </w:r>
    </w:p>
    <w:p>
      <w:pPr>
        <w:pStyle w:val="ListBullet"/>
        <w:spacing w:after="40"/>
      </w:pPr>
      <w:r>
        <w:t>upload malicious code, unlawful data, infringing content, excessive data or data the Client has no lawful authority to process;</w:t>
      </w:r>
    </w:p>
    <w:p>
      <w:pPr>
        <w:pStyle w:val="ListBullet"/>
        <w:spacing w:after="40"/>
      </w:pPr>
      <w:r>
        <w:t>conduct penetration testing, vulnerability scanning or load testing without prior written approval and agreed safeguards;</w:t>
      </w:r>
    </w:p>
    <w:p>
      <w:pPr>
        <w:pStyle w:val="ListBullet"/>
        <w:spacing w:after="40"/>
      </w:pPr>
      <w:r>
        <w:t>use public or unapproved generative AI tools to process Finwell Confidential Information, source code, security material or non-public Documentation; or</w:t>
      </w:r>
    </w:p>
    <w:p>
      <w:pPr>
        <w:pStyle w:val="ListBullet"/>
        <w:spacing w:after="40"/>
      </w:pPr>
      <w:r>
        <w:t>use the Services contrary to Schedule 6, applicable law, employment obligations, privacy notices or regulatory requirements.</w:t>
      </w:r>
    </w:p>
    <w:p>
      <w:pPr>
        <w:pStyle w:val="Clause"/>
        <w:keepLines/>
      </w:pPr>
      <w:r>
        <w:t>Finwell may suspend affected access immediately where necessary to address a security threat, unlawful use, infringement, material breach, non-payment after notice, or risk to the Platform or other customers. Finwell will use reasonable efforts to limit the suspension and restore access after the issue is remedied.</w:t>
      </w:r>
    </w:p>
    <w:p>
      <w:pPr>
        <w:pStyle w:val="Heading1"/>
        <w:pBdr>
          <w:bottom w:val="single" w:sz="12" w:space="4" w:color="F97316"/>
        </w:pBdr>
      </w:pPr>
      <w:r>
        <w:t>4. IMPLEMENTATION AND PROFESSIONAL SERVICES</w:t>
      </w:r>
    </w:p>
    <w:p>
      <w:pPr>
        <w:pStyle w:val="Clause"/>
        <w:keepLines/>
      </w:pPr>
      <w:r>
        <w:t>4.1 The scope, assumptions, milestones, deliverables, responsibilities, Fees and acceptance criteria for Professional Services shall be stated in the SOW. Anything not expressly included is out of scope and may require a written change request.</w:t>
      </w:r>
    </w:p>
    <w:p>
      <w:pPr>
        <w:pStyle w:val="Clause"/>
        <w:keepLines/>
      </w:pPr>
      <w:r>
        <w:t>4.2 Client dependencies include appointing an authorised coordinator, providing accurate and timely information, access, data, decisions, credentials and approvals, making relevant personnel available, validating process designs, testing deliverables, and enforcing user adoption.</w:t>
      </w:r>
    </w:p>
    <w:p>
      <w:pPr>
        <w:pStyle w:val="Clause"/>
        <w:keepLines/>
      </w:pPr>
      <w:r>
        <w:t>4.3 Milestone dates depend on timely Client performance and Third-Party Services. Delays attributable to the Client, its vendors or systems extend affected dates reasonably and may result in additional Fees where Finwell incurs additional effort or reserved capacity.</w:t>
      </w:r>
    </w:p>
    <w:p>
      <w:pPr>
        <w:pStyle w:val="Clause"/>
        <w:keepLines/>
      </w:pPr>
      <w:r>
        <w:t>4.4 Change requests must describe the requested change, impact on scope, timeline, Fees and assumptions. No change binds either Party until approved in writing by authorised representatives.</w:t>
      </w:r>
    </w:p>
    <w:p>
      <w:pPr>
        <w:pStyle w:val="Clause"/>
        <w:keepLines/>
      </w:pPr>
      <w:r>
        <w:t>4.5 Finwell may use qualified personnel, Affiliates and subcontractors to perform Services, while remaining responsible for their performance to the same extent as for its own personnel, subject to the DPA and Security Schedule.</w:t>
      </w:r>
    </w:p>
    <w:p>
      <w:pPr>
        <w:pStyle w:val="Heading1"/>
        <w:pBdr>
          <w:bottom w:val="single" w:sz="12" w:space="4" w:color="F97316"/>
        </w:pBdr>
      </w:pPr>
      <w:r>
        <w:t>5. ACCEPTANCE</w:t>
      </w:r>
    </w:p>
    <w:p>
      <w:pPr>
        <w:pStyle w:val="Clause"/>
        <w:keepLines/>
      </w:pPr>
      <w:r>
        <w:t>5.1 Unless the SOW states otherwise, the Client shall test each deliverable within seven (7) Business Days after Finwell notifies readiness and either accept it or provide a written rejection identifying specific material non-conformities against the agreed acceptance criteria.</w:t>
      </w:r>
    </w:p>
    <w:p>
      <w:pPr>
        <w:pStyle w:val="Clause"/>
        <w:keepLines/>
      </w:pPr>
      <w:r>
        <w:t>5.2 Finwell shall use reasonable efforts to correct verified material non-conformities and resubmit the deliverable. Minor defects that do not materially prevent intended use shall not delay acceptance and may be corrected through support.</w:t>
      </w:r>
    </w:p>
    <w:p>
      <w:pPr>
        <w:pStyle w:val="Clause"/>
        <w:keepLines/>
      </w:pPr>
      <w:r>
        <w:t>5.3 A deliverable is deemed accepted upon the earliest of: (a) written acceptance; (b) productive or operational use; (c) instruction to proceed to the next milestone; or (d) expiry of the review period without a valid written rejection.</w:t>
      </w:r>
    </w:p>
    <w:p>
      <w:pPr>
        <w:pStyle w:val="Clause"/>
        <w:keepLines/>
      </w:pPr>
      <w:r>
        <w:t>5.4 Acceptance does not waive latent defects, security obligations, warranties expressly stated in this Agreement, or support obligations.</w:t>
      </w:r>
    </w:p>
    <w:p>
      <w:pPr>
        <w:pStyle w:val="Heading1"/>
        <w:pBdr>
          <w:bottom w:val="single" w:sz="12" w:space="4" w:color="F97316"/>
        </w:pBdr>
      </w:pPr>
      <w:r>
        <w:t>6. FEES, TAXES AND PAYMENT</w:t>
      </w:r>
    </w:p>
    <w:p>
      <w:pPr>
        <w:pStyle w:val="Clause"/>
        <w:keepLines/>
      </w:pPr>
      <w:r>
        <w:t>6.1 The Client shall pay the Fees and applicable taxes in accordance with the Order Form. Fees are exclusive of GST and other applicable taxes unless expressly stated otherwise.</w:t>
      </w:r>
    </w:p>
    <w:p>
      <w:pPr>
        <w:pStyle w:val="Clause"/>
        <w:keepLines/>
      </w:pPr>
      <w:r>
        <w:t>6.2 Subscription Fees are payable in advance and, except as expressly stated, are non-cancellable and non-refundable. Implementation and Professional Service Fees are payable by milestone. Third-party, carrier, API, AI, hosting, messaging, video, storage, travel and out-of-scope charges are additional.</w:t>
      </w:r>
    </w:p>
    <w:p>
      <w:pPr>
        <w:pStyle w:val="Clause"/>
        <w:keepLines/>
      </w:pPr>
      <w:r>
        <w:t>6.3 Undisputed invoices are due within the period in the Order Form. The Client must notify invoice disputes with reasonable detail within seven (7) Business Days; undisputed portions remain payable. Delayed undisputed amounts may carry interest at 1.5% per month or the maximum lawful rate, whichever is lower.</w:t>
      </w:r>
    </w:p>
    <w:p>
      <w:pPr>
        <w:pStyle w:val="Clause"/>
        <w:keepLines/>
      </w:pPr>
      <w:r>
        <w:t>6.4 Finwell may suspend Services for undisputed amounts more than fifteen (15) days overdue after written notice and a further seven (7) day cure period, unless immediate suspension is permitted under Clause 3.</w:t>
      </w:r>
    </w:p>
    <w:p>
      <w:pPr>
        <w:pStyle w:val="Clause"/>
        <w:keepLines/>
      </w:pPr>
      <w:r>
        <w:t>6.5 The Client may deduct tax at source only as required by law and shall provide valid certificates promptly. The Client shall not set off amounts except against finally determined or expressly agreed credits.</w:t>
      </w:r>
    </w:p>
    <w:p>
      <w:pPr>
        <w:pStyle w:val="Clause"/>
        <w:keepLines/>
      </w:pPr>
      <w:r>
        <w:t>6.6 Fees for renewals may increase by the percentage stated in the Order Form or, if none, by up to ten percent (10%) annually upon notice before renewal. Changes in taxes and pass-through third-party charges may be applied as required.</w:t>
      </w:r>
    </w:p>
    <w:p>
      <w:pPr>
        <w:pStyle w:val="Heading1"/>
        <w:pBdr>
          <w:bottom w:val="single" w:sz="12" w:space="4" w:color="F97316"/>
        </w:pBdr>
      </w:pPr>
      <w:r>
        <w:t>7. CUSTOMER DATA, OWNERSHIP AND PERMITTED PROCESSING</w:t>
      </w:r>
    </w:p>
    <w:p>
      <w:pPr>
        <w:pStyle w:val="Clause"/>
        <w:keepLines/>
      </w:pPr>
      <w:r>
        <w:t>7.1 As between the Parties, the Client retains all right, title and interest in Customer Data. The Client grants Finwell a limited, non-exclusive right to host, copy, transmit, display, analyse and otherwise process Customer Data only as necessary to provide, secure, support and improve the contracted Services, comply with documented lawful instructions, and meet legal obligations.</w:t>
      </w:r>
    </w:p>
    <w:p>
      <w:pPr>
        <w:pStyle w:val="Clause"/>
        <w:keepLines/>
      </w:pPr>
      <w:r>
        <w:t>7.2 Finwell owns all Bizzomation IP. The Client receives no ownership in Bizzomation IP. Any feedback or suggestions may be used by Finwell without restriction, provided they do not disclose Customer Data or Client Confidential Information.</w:t>
      </w:r>
    </w:p>
    <w:p>
      <w:pPr>
        <w:pStyle w:val="Clause"/>
        <w:keepLines/>
      </w:pPr>
      <w:r>
        <w:t>7.3 The Client may use reports and outputs generated from its Customer Data for its internal business purposes. Finwell retains ownership of the underlying templates, formulas, scoring models, workflow structures, visual designs, software logic and methodologies.</w:t>
      </w:r>
    </w:p>
    <w:p>
      <w:pPr>
        <w:pStyle w:val="Clause"/>
        <w:keepLines/>
      </w:pPr>
      <w:r>
        <w:t>7.4 Finwell may create and use aggregated and irreversibly anonymised information that does not identify the Client, any person or any Client customer, for security, analytics, benchmarking and product improvement. Finwell shall not use identifiable Customer Data to train a shared generative AI or machine-learning model without the Client’s express written consent.</w:t>
      </w:r>
    </w:p>
    <w:p>
      <w:pPr>
        <w:pStyle w:val="Clause"/>
        <w:keepLines/>
      </w:pPr>
      <w:r>
        <w:t>7.5 The Client is responsible for the legality, accuracy, quality and integrity of Customer Data; maintaining source and statutory records; obtaining necessary notices, consents and authorisations; and ensuring that the Client’s instructions and use comply with applicable law.</w:t>
      </w:r>
    </w:p>
    <w:p>
      <w:pPr>
        <w:pStyle w:val="Heading1"/>
        <w:pBdr>
          <w:bottom w:val="single" w:sz="12" w:space="4" w:color="F97316"/>
        </w:pBdr>
      </w:pPr>
      <w:r>
        <w:t>8. DATA PROTECTION</w:t>
      </w:r>
    </w:p>
    <w:p>
      <w:pPr>
        <w:pStyle w:val="Clause"/>
        <w:keepLines/>
      </w:pPr>
      <w:r>
        <w:t>8.1 For Personal Data processed by Finwell on behalf of the Client, the Client acts as Data Fiduciary/controller and Finwell acts as Data Processor/service provider, except where each Party independently determines purposes and means for its own account, billing, security, fraud-prevention, legal or employment data.</w:t>
      </w:r>
    </w:p>
    <w:p>
      <w:pPr>
        <w:pStyle w:val="Clause"/>
        <w:keepLines/>
      </w:pPr>
      <w:r>
        <w:t>8.2 The Parties shall comply with applicable Data Protection Laws and Schedule 3. The Client shall provide lawful instructions and privacy notices, address Data Principal requests and complaints, and determine retention. Finwell shall process Personal Data only on documented instructions, maintain confidentiality and security, assist reasonably, and return or delete data as agreed.</w:t>
      </w:r>
    </w:p>
    <w:p>
      <w:pPr>
        <w:pStyle w:val="Clause"/>
        <w:keepLines/>
      </w:pPr>
      <w:r>
        <w:t>8.3 If a change in law materially increases Finwell’s cost or requires material technical changes, the Parties shall cooperate in good faith on necessary modifications, timeline and equitable Fees.</w:t>
      </w:r>
    </w:p>
    <w:p>
      <w:pPr>
        <w:pStyle w:val="Heading1"/>
        <w:pBdr>
          <w:bottom w:val="single" w:sz="12" w:space="4" w:color="F97316"/>
        </w:pBdr>
      </w:pPr>
      <w:r>
        <w:t>9. INFORMATION SECURITY AND INCIDENT MANAGEMENT</w:t>
      </w:r>
    </w:p>
    <w:p>
      <w:pPr>
        <w:pStyle w:val="Clause"/>
        <w:keepLines/>
      </w:pPr>
      <w:r>
        <w:t>9.1 Finwell shall maintain commercially reasonable technical and organisational measures substantially described in Schedule 4, taking into account the nature of the Services, risk, state of technology and cost of implementation.</w:t>
      </w:r>
    </w:p>
    <w:p>
      <w:pPr>
        <w:pStyle w:val="Clause"/>
        <w:keepLines/>
      </w:pPr>
      <w:r>
        <w:t>9.2 Finwell shall notify the Client without undue delay and, where reasonably possible, within twelve (12) hours after confirming a material Security Incident affecting Customer Data. Initial notice may be preliminary and shall be supplemented as information becomes available.</w:t>
      </w:r>
    </w:p>
    <w:p>
      <w:pPr>
        <w:pStyle w:val="Clause"/>
        <w:keepLines/>
      </w:pPr>
      <w:r>
        <w:t>9.3 Finwell shall investigate, contain and remediate the Security Incident; provide available information reasonably required for the Client’s legal obligations; preserve relevant evidence; and cooperate with lawful regulatory reporting. Neither Party shall make public statements naming the other without consultation unless legally required.</w:t>
      </w:r>
    </w:p>
    <w:p>
      <w:pPr>
        <w:pStyle w:val="Clause"/>
        <w:keepLines/>
      </w:pPr>
      <w:r>
        <w:t>9.4 Security obligations do not make Finwell responsible for incidents caused by Client credentials, Client devices, unsupported systems, Client instructions, unauthorised configuration, Customer Data, third-party networks or circumstances outside Finwell’s reasonable control, except to the extent Finwell contributed through breach of this Agreement.</w:t>
      </w:r>
    </w:p>
    <w:p>
      <w:pPr>
        <w:pStyle w:val="Heading1"/>
        <w:pBdr>
          <w:bottom w:val="single" w:sz="12" w:space="4" w:color="F97316"/>
        </w:pBdr>
      </w:pPr>
      <w:r>
        <w:t>10. CONFIDENTIALITY</w:t>
      </w:r>
    </w:p>
    <w:p>
      <w:pPr>
        <w:pStyle w:val="Clause"/>
        <w:keepLines/>
      </w:pPr>
      <w:r>
        <w:t>10.1 Each Receiving Party shall use the Disclosing Party’s Confidential Information only for this Agreement; protect it with at least reasonable care; disclose it only to personnel, Affiliates, advisers and contractors who need to know and are bound by protective obligations; and remain responsible for their breaches.</w:t>
      </w:r>
    </w:p>
    <w:p>
      <w:pPr>
        <w:pStyle w:val="Clause"/>
        <w:keepLines/>
      </w:pPr>
      <w:r>
        <w:t>10.2 Confidential Information excludes information demonstrably: publicly available without breach; lawfully known without restriction before disclosure; lawfully received from a third party; or independently developed without use of Confidential Information.</w:t>
      </w:r>
    </w:p>
    <w:p>
      <w:pPr>
        <w:pStyle w:val="Clause"/>
        <w:keepLines/>
      </w:pPr>
      <w:r>
        <w:t>10.3 Compelled disclosure is permitted only to the legally required extent, after prior notice where lawful and reasonable cooperation to seek protection.</w:t>
      </w:r>
    </w:p>
    <w:p>
      <w:pPr>
        <w:pStyle w:val="Clause"/>
        <w:keepLines/>
      </w:pPr>
      <w:r>
        <w:t>10.4 On request or termination, each Party shall return or delete Confidential Information subject to active service requirements, lawful retention, insurance, dispute preservation and normal backup cycles. Retained copies remain protected and inaccessible except for permitted purposes.</w:t>
      </w:r>
    </w:p>
    <w:p>
      <w:pPr>
        <w:pStyle w:val="Clause"/>
        <w:keepLines/>
      </w:pPr>
      <w:r>
        <w:t>10.5 General confidentiality obligations survive five (5) years after disclosure. Trade secrets, source code, security architecture, algorithms and Customer Data obligations survive while confidential or as required by law.</w:t>
      </w:r>
    </w:p>
    <w:p>
      <w:pPr>
        <w:pStyle w:val="Clause"/>
        <w:keepLines/>
      </w:pPr>
      <w:r>
        <w:t>10.6 Unauthorised disclosure may cause irreparable harm. A Party may seek interim and injunctive relief in addition to other remedies.</w:t>
      </w:r>
    </w:p>
    <w:p>
      <w:pPr>
        <w:pStyle w:val="Heading1"/>
        <w:pBdr>
          <w:bottom w:val="single" w:sz="12" w:space="4" w:color="F97316"/>
        </w:pBdr>
      </w:pPr>
      <w:r>
        <w:t>11. WARRANTIES AND DISCLAIMERS</w:t>
      </w:r>
    </w:p>
    <w:p>
      <w:pPr>
        <w:pStyle w:val="Clause"/>
        <w:keepLines/>
      </w:pPr>
      <w:r>
        <w:t>11.1 Each Party warrants that it has authority to enter into this Agreement and will comply with laws applicable to its own performance.</w:t>
      </w:r>
    </w:p>
    <w:p>
      <w:pPr>
        <w:pStyle w:val="Clause"/>
        <w:keepLines/>
      </w:pPr>
      <w:r>
        <w:t>11.2 Finwell warrants that: (a) Professional Services will be performed with reasonable skill and care; (b) during the Subscription Term, the Platform will materially conform to the Documentation; and (c) Finwell will not knowingly introduce malicious code into the Platform. The Client’s exclusive remedy is re-performance, correction or, if Finwell cannot materially cure after reasonable efforts, termination of the affected Service with refund of prepaid unused subscription Fees for the affected period.</w:t>
      </w:r>
    </w:p>
    <w:p>
      <w:pPr>
        <w:pStyle w:val="Clause"/>
        <w:keepLines/>
      </w:pPr>
      <w:r>
        <w:t>11.3 Except for express warranties, the Services are provided “as available”. To the maximum extent permitted by law, Finwell disclaims implied warranties of merchantability, fitness for a particular purpose, uninterrupted operation, error-free operation and results. Finwell does not warrant that every workflow, report, integration or output will meet unstated requirements.</w:t>
      </w:r>
    </w:p>
    <w:p>
      <w:pPr>
        <w:pStyle w:val="Clause"/>
        <w:keepLines/>
      </w:pPr>
      <w:r>
        <w:t>11.4 Dashboards, MIS scores, productivity indicators, financial analytics and automated outputs are management-support tools. They do not constitute an audit, registered valuation, legal opinion, tax opinion, investment advice, employment decision or statutory record. The Client must independently verify important decisions and source data.</w:t>
      </w:r>
    </w:p>
    <w:p>
      <w:pPr>
        <w:pStyle w:val="Clause"/>
        <w:keepLines/>
      </w:pPr>
      <w:r>
        <w:t>11.5 Finwell is not responsible for errors or outcomes caused by incorrect Tally/accounting entries, mapping, incomplete data, unauthorised access, Client configuration, third-party services, internet or telecom failure, or use contrary to Documentation.</w:t>
      </w:r>
    </w:p>
    <w:p>
      <w:pPr>
        <w:pStyle w:val="Heading1"/>
        <w:pBdr>
          <w:bottom w:val="single" w:sz="12" w:space="4" w:color="F97316"/>
        </w:pBdr>
      </w:pPr>
      <w:r>
        <w:t>12. THIRD-PARTY SERVICES AND INTEGRATIONS</w:t>
      </w:r>
    </w:p>
    <w:p>
      <w:pPr>
        <w:pStyle w:val="Clause"/>
        <w:keepLines/>
      </w:pPr>
      <w:r>
        <w:t>12.1 Third-Party Services are governed by their providers’ terms, availability, privacy practices and charges. The Client authorises Finwell to exchange necessary data with enabled integrations and is responsible for valid subscriptions, licences, credentials and permissions.</w:t>
      </w:r>
    </w:p>
    <w:p>
      <w:pPr>
        <w:pStyle w:val="Clause"/>
        <w:keepLines/>
      </w:pPr>
      <w:r>
        <w:t>12.2 Finwell does not control Third-Party Services and is not liable for their downtime, changes, discontinuation, data practices or acts, except for Finwell’s negligent integration conduct. Finwell may modify or discontinue an affected integration and may propose a reasonable alternative or change request.</w:t>
      </w:r>
    </w:p>
    <w:p>
      <w:pPr>
        <w:pStyle w:val="Clause"/>
        <w:keepLines/>
      </w:pPr>
      <w:r>
        <w:t>12.3 WhatsApp, SMS, email, video, AI, Tally, payment gateway and carrier usage charges are additional unless expressly included. “Setup included” does not include recurring provider, carrier, API, subscription or consumption charges.</w:t>
      </w:r>
    </w:p>
    <w:p>
      <w:pPr>
        <w:pStyle w:val="Heading1"/>
        <w:pBdr>
          <w:bottom w:val="single" w:sz="12" w:space="4" w:color="F97316"/>
        </w:pBdr>
      </w:pPr>
      <w:r>
        <w:t>13. INDEMNITIES</w:t>
      </w:r>
    </w:p>
    <w:p>
      <w:pPr>
        <w:pStyle w:val="Clause"/>
        <w:keepLines/>
      </w:pPr>
      <w:r>
        <w:t>13.1 Finwell shall defend the Client against a third-party claim that the unmodified Platform, when used as authorised, infringes an Indian patent, copyright or registered trademark, and pay finally awarded damages or agreed settlements, provided the Client gives prompt notice, control of defence and reasonable cooperation.</w:t>
      </w:r>
    </w:p>
    <w:p>
      <w:pPr>
        <w:pStyle w:val="Clause"/>
        <w:keepLines/>
      </w:pPr>
      <w:r>
        <w:t>13.2 Finwell has no obligation for claims arising from Customer Data, Client specifications, unauthorised modifications or combinations, continued use after notice, Third-Party Services, open-source components used under their licences, or use outside this Agreement. Finwell may obtain continued rights, modify or replace the affected component, or terminate it and refund prepaid unused Fees.</w:t>
      </w:r>
    </w:p>
    <w:p>
      <w:pPr>
        <w:pStyle w:val="Clause"/>
        <w:keepLines/>
      </w:pPr>
      <w:r>
        <w:t>13.3 The Client shall defend and indemnify Finwell against third-party claims arising from: unlawful or infringing Customer Data; failure to provide notices or obtain authority; illegal employee monitoring; Client employment or disciplinary decisions; misuse of the Services; Client-provided content or instructions; or breach of the Acceptable Use Policy.</w:t>
      </w:r>
    </w:p>
    <w:p>
      <w:pPr>
        <w:pStyle w:val="Clause"/>
        <w:keepLines/>
      </w:pPr>
      <w:r>
        <w:t>13.4 The indemnified Party must promptly notify, allow defence control and reasonably cooperate. No settlement may admit fault or impose non-monetary obligations on the indemnified Party without consent, not to be unreasonably withheld.</w:t>
      </w:r>
    </w:p>
    <w:p>
      <w:pPr>
        <w:pStyle w:val="Heading1"/>
        <w:pBdr>
          <w:bottom w:val="single" w:sz="12" w:space="4" w:color="F97316"/>
        </w:pBdr>
      </w:pPr>
      <w:r>
        <w:t>14. LIMITATION OF LIABILITY</w:t>
      </w:r>
    </w:p>
    <w:p>
      <w:pPr>
        <w:pStyle w:val="Clause"/>
        <w:keepLines/>
      </w:pPr>
      <w:r>
        <w:t>14.1 To the maximum extent permitted by law, neither Party is liable for indirect, incidental, special, exemplary, punitive or consequential damages, or loss of profits, revenue, opportunity, goodwill, anticipated savings or business interruption, even if advised of possibility, except where such exclusion is prohibited by law.</w:t>
      </w:r>
    </w:p>
    <w:p>
      <w:pPr>
        <w:pStyle w:val="Clause"/>
        <w:keepLines/>
      </w:pPr>
      <w:r>
        <w:t>14.2 Subject to Clause 14.3, each Party’s aggregate liability arising out of or relating to this Agreement shall not exceed the total Fees paid or payable under the affected Order Form during the twelve (12) months immediately preceding the first event giving rise to liability.</w:t>
      </w:r>
    </w:p>
    <w:p>
      <w:pPr>
        <w:pStyle w:val="Clause"/>
        <w:keepLines/>
      </w:pPr>
      <w:r>
        <w:t>14.3 A separate aggregate cap of two times (2x) the amount in Clause 14.2 applies to liability arising from: breach of confidentiality; breach of the DPA or Security Schedule; and indemnity obligations. The caps and exclusions do not limit: payment obligations; fraud; wilful misconduct; death or personal injury caused by negligence; infringement or misappropriation by the Client of Bizzomation IP; or liability that cannot legally be limited.</w:t>
      </w:r>
    </w:p>
    <w:p>
      <w:pPr>
        <w:pStyle w:val="Clause"/>
        <w:keepLines/>
      </w:pPr>
      <w:r>
        <w:t>14.4 Liability shall be reduced to the extent caused or contributed to by the claiming Party, its users, systems, data, instructions, failure to mitigate or breach.</w:t>
      </w:r>
    </w:p>
    <w:p>
      <w:pPr>
        <w:pStyle w:val="Heading1"/>
        <w:pBdr>
          <w:bottom w:val="single" w:sz="12" w:space="4" w:color="F97316"/>
        </w:pBdr>
      </w:pPr>
      <w:r>
        <w:t>15. INSURANCE</w:t>
      </w:r>
    </w:p>
    <w:p>
      <w:pPr>
        <w:pStyle w:val="Clause"/>
        <w:keepLines/>
      </w:pPr>
      <w:r>
        <w:t>During the Subscription Term, each Party shall maintain insurance customary and reasonably appropriate for its business and risks. Upon reasonable request for an enterprise engagement, Finwell shall provide evidence of then-current relevant insurance, subject to confidentiality and availability.</w:t>
      </w:r>
    </w:p>
    <w:p>
      <w:pPr>
        <w:pStyle w:val="Heading1"/>
        <w:pBdr>
          <w:bottom w:val="single" w:sz="12" w:space="4" w:color="F97316"/>
        </w:pBdr>
      </w:pPr>
      <w:r>
        <w:t>16. TERM, RENEWAL, SUSPENSION AND TERMINATION</w:t>
      </w:r>
    </w:p>
    <w:p>
      <w:pPr>
        <w:pStyle w:val="Clause"/>
        <w:keepLines/>
      </w:pPr>
      <w:r>
        <w:t>16.1 This Agreement begins on the Agreement Date and continues while an Order Form remains active. Each Order Form begins on its stated start date and continues for the Initial Term.</w:t>
      </w:r>
    </w:p>
    <w:p>
      <w:pPr>
        <w:pStyle w:val="Clause"/>
        <w:keepLines/>
      </w:pPr>
      <w:r>
        <w:t>16.2 Unless the Order Form states otherwise, it renews for successive twelve-month periods unless either Party gives at least thirty (30) days’ written notice before expiry.</w:t>
      </w:r>
    </w:p>
    <w:p>
      <w:pPr>
        <w:pStyle w:val="Clause"/>
        <w:keepLines/>
      </w:pPr>
      <w:r>
        <w:t>16.3 Either Party may terminate an affected Order Form or this Agreement for material breach not cured within thirty (30) days after written notice, or within ten (10) days for payment breach. A Party may terminate immediately for insolvency, unlawful use, serious security threat, fraud or breach incapable of cure.</w:t>
      </w:r>
    </w:p>
    <w:p>
      <w:pPr>
        <w:pStyle w:val="Clause"/>
        <w:keepLines/>
      </w:pPr>
      <w:r>
        <w:t>16.4 The Client may terminate for convenience only if expressly allowed in the Order Form. Unless otherwise agreed, prepaid Fees are not refundable and committed Fees remain payable.</w:t>
      </w:r>
    </w:p>
    <w:p>
      <w:pPr>
        <w:pStyle w:val="Clause"/>
        <w:keepLines/>
      </w:pPr>
      <w:r>
        <w:t>16.5 Upon termination: access ceases; accrued Fees become due; each Party returns Confidential Information as applicable; and Customer Data is handled under Schedule 8. Clauses intended by nature to survive remain effective, including ownership, payment, confidentiality, DPA, disclaimers, indemnities, liability, dispute resolution and exit obligations.</w:t>
      </w:r>
    </w:p>
    <w:p>
      <w:pPr>
        <w:pStyle w:val="Heading1"/>
        <w:pBdr>
          <w:bottom w:val="single" w:sz="12" w:space="4" w:color="F97316"/>
        </w:pBdr>
      </w:pPr>
      <w:r>
        <w:t>17. BUSINESS CONTINUITY, BACKUPS AND RECORDS</w:t>
      </w:r>
    </w:p>
    <w:p>
      <w:pPr>
        <w:pStyle w:val="Clause"/>
        <w:keepLines/>
      </w:pPr>
      <w:r>
        <w:t>17.1 Finwell shall maintain commercially reasonable backup and continuity measures described in Schedule 4. Backup systems are not a substitute for the Client’s statutory and source records.</w:t>
      </w:r>
    </w:p>
    <w:p>
      <w:pPr>
        <w:pStyle w:val="Clause"/>
        <w:keepLines/>
      </w:pPr>
      <w:r>
        <w:t>17.2 The Client shall maintain independent copies of accounting books, tax records, payroll records, source documents, critical communications and any information required by law. The Client is responsible for Tally backups and validating imported data.</w:t>
      </w:r>
    </w:p>
    <w:p>
      <w:pPr>
        <w:pStyle w:val="Clause"/>
        <w:keepLines/>
      </w:pPr>
      <w:r>
        <w:t>17.3 Restoration is subject to available backups, technical feasibility and agreed recovery procedures. Custom restoration, migration or reconstruction caused by Client action may be chargeable.</w:t>
      </w:r>
    </w:p>
    <w:p>
      <w:pPr>
        <w:pStyle w:val="Heading1"/>
        <w:pBdr>
          <w:bottom w:val="single" w:sz="12" w:space="4" w:color="F97316"/>
        </w:pBdr>
      </w:pPr>
      <w:r>
        <w:t>18. AUDIT, COMPLIANCE AND RECORDS</w:t>
      </w:r>
    </w:p>
    <w:p>
      <w:pPr>
        <w:pStyle w:val="Clause"/>
        <w:keepLines/>
      </w:pPr>
      <w:r>
        <w:t>18.1 On reasonable written request not more than once annually, Finwell shall provide available information reasonably necessary to demonstrate compliance with the DPA and Security Schedule, subject to confidentiality, security and protection of other customers.</w:t>
      </w:r>
    </w:p>
    <w:p>
      <w:pPr>
        <w:pStyle w:val="Clause"/>
        <w:keepLines/>
      </w:pPr>
      <w:r>
        <w:t>18.2 If information is insufficient after a material concern, the Client may request an independent audit during business hours on reasonable notice, no more than once annually, at the Client’s cost, by a non-competing auditor bound by confidentiality. Finwell may satisfy the request through current independent reports or certifications where appropriate.</w:t>
      </w:r>
    </w:p>
    <w:p>
      <w:pPr>
        <w:pStyle w:val="Clause"/>
        <w:keepLines/>
      </w:pPr>
      <w:r>
        <w:t>18.3 Additional audits arising from a confirmed material breach by Finwell shall be at Finwell’s reasonable cost. Audits must not access other customers’ data, source code, penetration-test details that create risk, or privileged information.</w:t>
      </w:r>
    </w:p>
    <w:p>
      <w:pPr>
        <w:pStyle w:val="Heading1"/>
        <w:pBdr>
          <w:bottom w:val="single" w:sz="12" w:space="4" w:color="F97316"/>
        </w:pBdr>
      </w:pPr>
      <w:r>
        <w:t>19. PUBLICITY, TRADEMARKS AND CASE STUDIES</w:t>
      </w:r>
    </w:p>
    <w:p>
      <w:pPr>
        <w:pStyle w:val="Clause"/>
        <w:keepLines/>
      </w:pPr>
      <w:r>
        <w:t>Neither Party may use the other Party’s name, logo or trademarks in public marketing without prior written consent. Any case study, testimonial, reference partnership, success story or logo use requires separate written approval of content and scope. Finwell may list the Client internally for account administration without public disclosure.</w:t>
      </w:r>
    </w:p>
    <w:p>
      <w:pPr>
        <w:pStyle w:val="Heading1"/>
        <w:pBdr>
          <w:bottom w:val="single" w:sz="12" w:space="4" w:color="F97316"/>
        </w:pBdr>
      </w:pPr>
      <w:r>
        <w:t>20. NON-SOLICITATION</w:t>
      </w:r>
    </w:p>
    <w:p>
      <w:pPr>
        <w:pStyle w:val="Clause"/>
        <w:keepLines/>
      </w:pPr>
      <w:r>
        <w:t>During an active SOW and for twelve (12) months thereafter, neither Party shall directly and specifically solicit for employment personnel of the other Party who were materially involved in that SOW, except through general advertisements, independent approaches, recruitment not targeted at such personnel, or with written consent. This clause does not restrict any person’s lawful employment rights and shall be interpreted narrowly to protect legitimate interests.</w:t>
      </w:r>
    </w:p>
    <w:p>
      <w:pPr>
        <w:pStyle w:val="Heading1"/>
        <w:pBdr>
          <w:bottom w:val="single" w:sz="12" w:space="4" w:color="F97316"/>
        </w:pBdr>
      </w:pPr>
      <w:r>
        <w:t>21. FORCE MAJEURE</w:t>
      </w:r>
    </w:p>
    <w:p>
      <w:pPr>
        <w:pStyle w:val="Clause"/>
        <w:keepLines/>
      </w:pPr>
      <w:r>
        <w:t>Neither Party is liable for delay or failure caused by events beyond reasonable control, including natural disasters, epidemic, war, civil unrest, governmental action, widespread internet or cloud failure, telecom outage, cyberattack despite reasonable safeguards, labour disruption or utility failure. The affected Party shall notify, mitigate and resume performance. Payment obligations for Services already provided are not excused. If material force majeure continues over sixty (60) days, either Party may terminate the affected Service without penalty for future periods.</w:t>
      </w:r>
    </w:p>
    <w:p>
      <w:pPr>
        <w:pStyle w:val="Heading1"/>
        <w:pBdr>
          <w:bottom w:val="single" w:sz="12" w:space="4" w:color="F97316"/>
        </w:pBdr>
      </w:pPr>
      <w:r>
        <w:t>22. DISPUTE RESOLUTION AND GOVERNING LAW</w:t>
      </w:r>
    </w:p>
    <w:p>
      <w:pPr>
        <w:pStyle w:val="Clause"/>
        <w:keepLines/>
      </w:pPr>
      <w:r>
        <w:t>22.1 This Agreement is governed by the laws of India.</w:t>
      </w:r>
    </w:p>
    <w:p>
      <w:pPr>
        <w:pStyle w:val="Clause"/>
        <w:keepLines/>
      </w:pPr>
      <w:r>
        <w:t>22.2 Before formal proceedings, senior representatives shall attempt in good faith to resolve a dispute within fifteen (15) Business Days after written escalation.</w:t>
      </w:r>
    </w:p>
    <w:p>
      <w:pPr>
        <w:pStyle w:val="Clause"/>
        <w:keepLines/>
      </w:pPr>
      <w:r>
        <w:t>22.3 Unresolved disputes shall be finally resolved by arbitration under the Arbitration and Conciliation Act, 1996 by a sole arbitrator mutually appointed. If the Parties fail to agree, appointment shall be made in accordance with applicable law. The seat and venue shall be Jhansi, Uttar Pradesh, the language English, and proceedings confidential.</w:t>
      </w:r>
    </w:p>
    <w:p>
      <w:pPr>
        <w:pStyle w:val="Clause"/>
        <w:keepLines/>
      </w:pPr>
      <w:r>
        <w:t>22.4 Courts at Jhansi, Uttar Pradesh shall have exclusive supervisory jurisdiction and jurisdiction for interim or injunctive relief. Nothing prevents urgent relief to protect Confidential Information, intellectual property, data or security.</w:t>
      </w:r>
    </w:p>
    <w:p>
      <w:pPr>
        <w:pStyle w:val="Heading1"/>
        <w:pBdr>
          <w:bottom w:val="single" w:sz="12" w:space="4" w:color="F97316"/>
        </w:pBdr>
      </w:pPr>
      <w:r>
        <w:t>23. NOTICES</w:t>
      </w:r>
    </w:p>
    <w:p>
      <w:pPr>
        <w:pStyle w:val="Clause"/>
        <w:keepLines/>
      </w:pPr>
      <w:r>
        <w:t>Formal notices must be in writing and sent to the addresses and emails in Schedule 9 by recognised courier, registered post or email with delivery evidence. Notices are deemed received: on delivery by hand; two Business Days after domestic courier dispatch; or on the next Business Day after email unless a delivery failure is received. Support tickets and routine project communications are not formal notices.</w:t>
      </w:r>
    </w:p>
    <w:p>
      <w:pPr>
        <w:pStyle w:val="Heading1"/>
        <w:pBdr>
          <w:bottom w:val="single" w:sz="12" w:space="4" w:color="F97316"/>
        </w:pBdr>
      </w:pPr>
      <w:r>
        <w:t>24. GENERAL</w:t>
      </w:r>
    </w:p>
    <w:p>
      <w:pPr>
        <w:pStyle w:val="Clause"/>
        <w:keepLines/>
      </w:pPr>
      <w:r>
        <w:t>24.1 The Parties are independent contractors. Nothing creates partnership, agency, employment, fiduciary duty, franchise or joint venture.</w:t>
      </w:r>
    </w:p>
    <w:p>
      <w:pPr>
        <w:pStyle w:val="Clause"/>
        <w:keepLines/>
      </w:pPr>
      <w:r>
        <w:t>24.2 Neither Party may assign this Agreement without the other Party’s written consent, except to an Affiliate or successor in merger, reorganisation or sale of substantially all relevant assets, provided the assignee assumes obligations and is not a direct competitor creating material risk. Finwell may assign receivables.</w:t>
      </w:r>
    </w:p>
    <w:p>
      <w:pPr>
        <w:pStyle w:val="Clause"/>
        <w:keepLines/>
      </w:pPr>
      <w:r>
        <w:t>24.3 No third party has rights under this Agreement. The Client is responsible for Affiliates and users receiving Services through it.</w:t>
      </w:r>
    </w:p>
    <w:p>
      <w:pPr>
        <w:pStyle w:val="Clause"/>
        <w:keepLines/>
      </w:pPr>
      <w:r>
        <w:t>24.4 This Agreement is the entire agreement on its subject and supersedes prior proposals, NDAs and discussions to the extent of conflict, except accrued confidentiality rights. Amendments and waivers must be written and signed by authorised representatives.</w:t>
      </w:r>
    </w:p>
    <w:p>
      <w:pPr>
        <w:pStyle w:val="Clause"/>
        <w:keepLines/>
      </w:pPr>
      <w:r>
        <w:t>24.5 If a provision is invalid, it shall be modified to the minimum extent necessary and the remainder continues. Delay in enforcement is not waiver. Rights and remedies are cumulative.</w:t>
      </w:r>
    </w:p>
    <w:p>
      <w:pPr>
        <w:pStyle w:val="Clause"/>
        <w:keepLines/>
      </w:pPr>
      <w:r>
        <w:t>24.6 This Agreement may be executed in counterparts and through electronic records, digital signatures or reliable electronic signature methods. Electronic copies are treated as originals, subject to applicable stamp duty and execution formalities.</w:t>
      </w:r>
    </w:p>
    <w:p>
      <w:pPr>
        <w:pStyle w:val="Clause"/>
        <w:keepLines/>
      </w:pPr>
      <w:r>
        <w:t>24.7 Purchase-order terms, vendor portal terms or click-through terms supplied by the Client do not amend this Agreement unless expressly accepted in writing by Finwell.</w:t>
      </w:r>
    </w:p>
    <w:p>
      <w:r>
        <w:br w:type="page"/>
      </w:r>
    </w:p>
    <w:tbl>
      <w:tblPr>
        <w:tblW w:type="auto" w:w="0"/>
        <w:jc w:val="center"/>
        <w:tblLayout w:type="autofit"/>
        <w:tblLook w:firstColumn="1" w:firstRow="1" w:lastColumn="0" w:lastRow="0" w:noHBand="0" w:noVBand="1" w:val="04A0"/>
      </w:tblPr>
      <w:tblGrid>
        <w:gridCol w:w="10166"/>
      </w:tblGrid>
      <w:tr>
        <w:tc>
          <w:tcPr>
            <w:tcW w:type="dxa" w:w="10166"/>
            <w:shd w:fill="0B1F33"/>
            <w:tcMar>
              <w:top w:w="300" w:type="dxa"/>
              <w:start w:w="300" w:type="dxa"/>
              <w:bottom w:w="300" w:type="dxa"/>
              <w:end w:w="300" w:type="dxa"/>
            </w:tcMar>
            <w:vAlign w:val="center"/>
          </w:tcPr>
          <w:p>
            <w:pPr>
              <w:spacing w:after="30"/>
              <w:jc w:val="center"/>
            </w:pPr>
            <w:r>
              <w:rPr>
                <w:rFonts w:ascii="Aptos" w:hAnsi="Aptos"/>
                <w:b/>
                <w:color w:val="FFFFFF"/>
                <w:sz w:val="16"/>
              </w:rPr>
              <w:t>SCHEDULE 1</w:t>
              <w:br/>
              <w:t>ORDER FORM AND COMMERCIAL TERMS</w:t>
            </w:r>
          </w:p>
          <w:p>
            <w:pPr>
              <w:spacing w:after="30"/>
              <w:jc w:val="center"/>
            </w:pPr>
            <w:r>
              <w:rPr>
                <w:rFonts w:ascii="Aptos" w:hAnsi="Aptos"/>
                <w:color w:val="FED7AA"/>
                <w:sz w:val="16"/>
              </w:rPr>
              <w:t>Complete all commercial fields before execution.</w:t>
            </w:r>
          </w:p>
        </w:tc>
      </w:tr>
    </w:tbl>
    <w:p>
      <w:pPr>
        <w:pStyle w:val="Heading2"/>
      </w:pPr>
      <w:r>
        <w:t>1. Parties and Order Details</w:t>
      </w:r>
    </w:p>
    <w:tbl>
      <w:tblPr>
        <w:tblStyle w:val="TableGrid"/>
        <w:tblW w:type="auto" w:w="0"/>
        <w:jc w:val="center"/>
        <w:tblLayout w:type="autofit"/>
        <w:tblLook w:firstColumn="1" w:firstRow="1" w:lastColumn="0" w:lastRow="0" w:noHBand="0" w:noVBand="1" w:val="04A0"/>
      </w:tblPr>
      <w:tblGrid>
        <w:gridCol w:w="5083"/>
        <w:gridCol w:w="5083"/>
      </w:tblGrid>
      <w:tr>
        <w:tc>
          <w:tcPr>
            <w:tcW w:type="dxa" w:w="5083"/>
            <w:shd w:fill="F1F5F9"/>
            <w:vAlign w:val="center"/>
          </w:tcPr>
          <w:p>
            <w:pPr>
              <w:spacing w:after="30"/>
            </w:pPr>
            <w:r>
              <w:rPr>
                <w:rFonts w:ascii="Aptos" w:hAnsi="Aptos"/>
                <w:b/>
                <w:sz w:val="16"/>
              </w:rPr>
              <w:t>Agreement Date</w:t>
            </w:r>
          </w:p>
        </w:tc>
        <w:tc>
          <w:tcPr>
            <w:tcW w:type="dxa" w:w="5083"/>
            <w:vAlign w:val="center"/>
          </w:tcPr>
          <w:p>
            <w:pPr>
              <w:spacing w:after="30"/>
            </w:pPr>
            <w:r>
              <w:rPr>
                <w:rFonts w:ascii="Aptos" w:hAnsi="Aptos"/>
                <w:sz w:val="16"/>
              </w:rPr>
              <w:t>[●]</w:t>
            </w:r>
          </w:p>
        </w:tc>
      </w:tr>
      <w:tr>
        <w:tc>
          <w:tcPr>
            <w:tcW w:type="dxa" w:w="5083"/>
            <w:shd w:fill="F1F5F9"/>
            <w:vAlign w:val="center"/>
          </w:tcPr>
          <w:p>
            <w:pPr>
              <w:spacing w:after="30"/>
            </w:pPr>
            <w:r>
              <w:rPr>
                <w:rFonts w:ascii="Aptos" w:hAnsi="Aptos"/>
                <w:b/>
                <w:sz w:val="16"/>
              </w:rPr>
              <w:t>Client Legal Name</w:t>
            </w:r>
          </w:p>
        </w:tc>
        <w:tc>
          <w:tcPr>
            <w:tcW w:type="dxa" w:w="5083"/>
            <w:vAlign w:val="center"/>
          </w:tcPr>
          <w:p>
            <w:r>
              <w:t>Taxmanntri Consultancy Private Limited</w:t>
            </w:r>
          </w:p>
        </w:tc>
      </w:tr>
      <w:tr>
        <w:tc>
          <w:tcPr>
            <w:tcW w:type="dxa" w:w="5083"/>
            <w:shd w:fill="F1F5F9"/>
            <w:vAlign w:val="center"/>
          </w:tcPr>
          <w:p>
            <w:pPr>
              <w:spacing w:after="30"/>
            </w:pPr>
            <w:r>
              <w:rPr>
                <w:rFonts w:ascii="Aptos" w:hAnsi="Aptos"/>
                <w:b/>
                <w:sz w:val="16"/>
              </w:rPr>
              <w:t>Client Registration / CIN / LLPIN</w:t>
            </w:r>
          </w:p>
        </w:tc>
        <w:tc>
          <w:tcPr>
            <w:tcW w:type="dxa" w:w="5083"/>
            <w:vAlign w:val="center"/>
          </w:tcPr>
          <w:p>
            <w:r>
              <w:t>U74120PN2021PTC204708</w:t>
            </w:r>
          </w:p>
        </w:tc>
      </w:tr>
      <w:tr>
        <w:tc>
          <w:tcPr>
            <w:tcW w:type="dxa" w:w="5083"/>
            <w:shd w:fill="F1F5F9"/>
            <w:vAlign w:val="center"/>
          </w:tcPr>
          <w:p>
            <w:pPr>
              <w:spacing w:after="30"/>
            </w:pPr>
            <w:r>
              <w:rPr>
                <w:rFonts w:ascii="Aptos" w:hAnsi="Aptos"/>
                <w:b/>
                <w:sz w:val="16"/>
              </w:rPr>
              <w:t>GSTIN</w:t>
            </w:r>
          </w:p>
        </w:tc>
        <w:tc>
          <w:tcPr>
            <w:tcW w:type="dxa" w:w="5083"/>
            <w:vAlign w:val="center"/>
          </w:tcPr>
          <w:p>
            <w:r>
              <w:t>27AAICT8948D1ZW</w:t>
            </w:r>
          </w:p>
        </w:tc>
      </w:tr>
      <w:tr>
        <w:tc>
          <w:tcPr>
            <w:tcW w:type="dxa" w:w="5083"/>
            <w:shd w:fill="F1F5F9"/>
            <w:vAlign w:val="center"/>
          </w:tcPr>
          <w:p>
            <w:pPr>
              <w:spacing w:after="30"/>
            </w:pPr>
            <w:r>
              <w:rPr>
                <w:rFonts w:ascii="Aptos" w:hAnsi="Aptos"/>
                <w:b/>
                <w:sz w:val="16"/>
              </w:rPr>
              <w:t>Registered Address</w:t>
            </w:r>
          </w:p>
        </w:tc>
        <w:tc>
          <w:tcPr>
            <w:tcW w:type="dxa" w:w="5083"/>
            <w:vAlign w:val="center"/>
          </w:tcPr>
          <w:p>
            <w:r>
              <w:t>SR. NO. 52/1/1, WING A-2,  FLAT NO. 604,   OMKAR NANDAN, NA, PUNE, PUNE-411041, Maharashtra, India</w:t>
            </w:r>
          </w:p>
        </w:tc>
      </w:tr>
      <w:tr>
        <w:tc>
          <w:tcPr>
            <w:tcW w:type="dxa" w:w="5083"/>
            <w:shd w:fill="F1F5F9"/>
            <w:vAlign w:val="center"/>
          </w:tcPr>
          <w:p>
            <w:pPr>
              <w:spacing w:after="30"/>
            </w:pPr>
            <w:r>
              <w:rPr>
                <w:rFonts w:ascii="Aptos" w:hAnsi="Aptos"/>
                <w:b/>
                <w:sz w:val="16"/>
              </w:rPr>
              <w:t>Billing Address</w:t>
            </w:r>
          </w:p>
        </w:tc>
        <w:tc>
          <w:tcPr>
            <w:tcW w:type="dxa" w:w="5083"/>
            <w:vAlign w:val="center"/>
          </w:tcPr>
          <w:p>
            <w:r>
              <w:t>SR. NO. 52/1/1, WING A-2,  FLAT NO. 604,   OMKAR NANDAN, NA, PUNE, PUNE-411041, Maharashtra, India</w:t>
            </w:r>
          </w:p>
        </w:tc>
      </w:tr>
      <w:tr>
        <w:tc>
          <w:tcPr>
            <w:tcW w:type="dxa" w:w="5083"/>
            <w:shd w:fill="F1F5F9"/>
            <w:vAlign w:val="center"/>
          </w:tcPr>
          <w:p>
            <w:pPr>
              <w:spacing w:after="30"/>
            </w:pPr>
            <w:r>
              <w:rPr>
                <w:rFonts w:ascii="Aptos" w:hAnsi="Aptos"/>
                <w:b/>
                <w:sz w:val="16"/>
              </w:rPr>
              <w:t>Business Entity Covered</w:t>
            </w:r>
          </w:p>
        </w:tc>
        <w:tc>
          <w:tcPr>
            <w:tcW w:type="dxa" w:w="5083"/>
            <w:vAlign w:val="center"/>
          </w:tcPr>
          <w:p>
            <w:r>
              <w:t>One business entity</w:t>
            </w:r>
          </w:p>
        </w:tc>
      </w:tr>
      <w:tr>
        <w:tc>
          <w:tcPr>
            <w:tcW w:type="dxa" w:w="5083"/>
            <w:shd w:fill="F1F5F9"/>
            <w:vAlign w:val="center"/>
          </w:tcPr>
          <w:p>
            <w:pPr>
              <w:spacing w:after="30"/>
            </w:pPr>
            <w:r>
              <w:rPr>
                <w:rFonts w:ascii="Aptos" w:hAnsi="Aptos"/>
                <w:b/>
                <w:sz w:val="16"/>
              </w:rPr>
              <w:t>Subscription Start Date</w:t>
            </w:r>
          </w:p>
        </w:tc>
        <w:tc>
          <w:tcPr>
            <w:tcW w:type="dxa" w:w="5083"/>
            <w:vAlign w:val="center"/>
          </w:tcPr>
          <w:p>
            <w:r>
              <w:t>2026-06-30</w:t>
            </w:r>
          </w:p>
        </w:tc>
      </w:tr>
      <w:tr>
        <w:tc>
          <w:tcPr>
            <w:tcW w:type="dxa" w:w="5083"/>
            <w:shd w:fill="F1F5F9"/>
            <w:vAlign w:val="center"/>
          </w:tcPr>
          <w:p>
            <w:pPr>
              <w:spacing w:after="30"/>
            </w:pPr>
            <w:r>
              <w:rPr>
                <w:rFonts w:ascii="Aptos" w:hAnsi="Aptos"/>
                <w:b/>
                <w:sz w:val="16"/>
              </w:rPr>
              <w:t>Initial Term</w:t>
            </w:r>
          </w:p>
        </w:tc>
        <w:tc>
          <w:tcPr>
            <w:tcW w:type="dxa" w:w="5083"/>
            <w:vAlign w:val="center"/>
          </w:tcPr>
          <w:p>
            <w:pPr>
              <w:spacing w:after="30"/>
            </w:pPr>
            <w:r>
              <w:rPr>
                <w:rFonts w:ascii="Aptos" w:hAnsi="Aptos"/>
                <w:sz w:val="16"/>
              </w:rPr>
              <w:t>[12 months / ●]</w:t>
            </w:r>
          </w:p>
        </w:tc>
      </w:tr>
      <w:tr>
        <w:tc>
          <w:tcPr>
            <w:tcW w:type="dxa" w:w="5083"/>
            <w:shd w:fill="F1F5F9"/>
            <w:vAlign w:val="center"/>
          </w:tcPr>
          <w:p>
            <w:pPr>
              <w:spacing w:after="30"/>
            </w:pPr>
            <w:r>
              <w:rPr>
                <w:rFonts w:ascii="Aptos" w:hAnsi="Aptos"/>
                <w:b/>
                <w:sz w:val="16"/>
              </w:rPr>
              <w:t>Renewal</w:t>
            </w:r>
          </w:p>
        </w:tc>
        <w:tc>
          <w:tcPr>
            <w:tcW w:type="dxa" w:w="5083"/>
            <w:vAlign w:val="center"/>
          </w:tcPr>
          <w:p>
            <w:r>
              <w:t>Automatic annual renewal unless 30 days' notice</w:t>
            </w:r>
          </w:p>
        </w:tc>
      </w:tr>
    </w:tbl>
    <w:p>
      <w:pPr>
        <w:pStyle w:val="Heading2"/>
      </w:pPr>
      <w:r>
        <w:t>2. Purchased Scope</w:t>
      </w:r>
    </w:p>
    <w:tbl>
      <w:tblPr>
        <w:tblStyle w:val="TableGrid"/>
        <w:tblW w:type="auto" w:w="0"/>
        <w:jc w:val="center"/>
        <w:tblLayout w:type="autofit"/>
        <w:tblLook w:firstColumn="1" w:firstRow="1" w:lastColumn="0" w:lastRow="0" w:noHBand="0" w:noVBand="1" w:val="04A0"/>
      </w:tblPr>
      <w:tblGrid>
        <w:gridCol w:w="2541"/>
        <w:gridCol w:w="2541"/>
        <w:gridCol w:w="2541"/>
        <w:gridCol w:w="2541"/>
      </w:tblGrid>
      <w:tr>
        <w:tc>
          <w:tcPr>
            <w:tcW w:type="dxa" w:w="2541"/>
            <w:shd w:fill="0B1F33"/>
            <w:vAlign w:val="center"/>
          </w:tcPr>
          <w:p>
            <w:pPr>
              <w:spacing w:after="30"/>
            </w:pPr>
            <w:r>
              <w:rPr>
                <w:rFonts w:ascii="Aptos" w:hAnsi="Aptos"/>
                <w:b/>
                <w:color w:val="FFFFFF"/>
                <w:sz w:val="16"/>
              </w:rPr>
              <w:t>Item</w:t>
            </w:r>
          </w:p>
        </w:tc>
        <w:tc>
          <w:tcPr>
            <w:tcW w:type="dxa" w:w="2541"/>
            <w:shd w:fill="0B1F33"/>
            <w:vAlign w:val="center"/>
          </w:tcPr>
          <w:p>
            <w:pPr>
              <w:spacing w:after="30"/>
            </w:pPr>
            <w:r>
              <w:rPr>
                <w:rFonts w:ascii="Aptos" w:hAnsi="Aptos"/>
                <w:b/>
                <w:color w:val="FFFFFF"/>
                <w:sz w:val="16"/>
              </w:rPr>
              <w:t>Included</w:t>
            </w:r>
          </w:p>
        </w:tc>
        <w:tc>
          <w:tcPr>
            <w:tcW w:type="dxa" w:w="2541"/>
            <w:shd w:fill="0B1F33"/>
            <w:vAlign w:val="center"/>
          </w:tcPr>
          <w:p>
            <w:pPr>
              <w:spacing w:after="30"/>
            </w:pPr>
            <w:r>
              <w:rPr>
                <w:rFonts w:ascii="Aptos" w:hAnsi="Aptos"/>
                <w:b/>
                <w:color w:val="FFFFFF"/>
                <w:sz w:val="16"/>
              </w:rPr>
              <w:t>Limit / Quantity</w:t>
            </w:r>
          </w:p>
        </w:tc>
        <w:tc>
          <w:tcPr>
            <w:tcW w:type="dxa" w:w="2541"/>
            <w:shd w:fill="0B1F33"/>
            <w:vAlign w:val="center"/>
          </w:tcPr>
          <w:p>
            <w:pPr>
              <w:spacing w:after="30"/>
            </w:pPr>
            <w:r>
              <w:rPr>
                <w:rFonts w:ascii="Aptos" w:hAnsi="Aptos"/>
                <w:b/>
                <w:color w:val="FFFFFF"/>
                <w:sz w:val="16"/>
              </w:rPr>
              <w:t>Notes</w:t>
            </w:r>
          </w:p>
        </w:tc>
      </w:tr>
      <w:tr>
        <w:tc>
          <w:tcPr>
            <w:tcW w:type="dxa" w:w="2541"/>
            <w:vAlign w:val="center"/>
          </w:tcPr>
          <w:p>
            <w:pPr>
              <w:spacing w:after="30"/>
            </w:pPr>
            <w:r>
              <w:rPr>
                <w:rFonts w:ascii="Aptos" w:hAnsi="Aptos"/>
                <w:sz w:val="16"/>
              </w:rPr>
              <w:t>Platform licence</w:t>
            </w:r>
          </w:p>
        </w:tc>
        <w:tc>
          <w:tcPr>
            <w:tcW w:type="dxa" w:w="2541"/>
            <w:vAlign w:val="center"/>
          </w:tcPr>
          <w:p>
            <w:pPr>
              <w:spacing w:after="30"/>
            </w:pPr>
            <w:r>
              <w:rPr>
                <w:rFonts w:ascii="Aptos" w:hAnsi="Aptos"/>
                <w:sz w:val="16"/>
              </w:rPr>
              <w:t>Yes</w:t>
            </w:r>
          </w:p>
        </w:tc>
        <w:tc>
          <w:tcPr>
            <w:tcW w:type="dxa" w:w="2541"/>
            <w:vAlign w:val="center"/>
          </w:tcPr>
          <w:p>
            <w:r>
              <w:t>35 users</w:t>
            </w:r>
          </w:p>
        </w:tc>
        <w:tc>
          <w:tcPr>
            <w:tcW w:type="dxa" w:w="2541"/>
            <w:vAlign w:val="center"/>
          </w:tcPr>
          <w:p>
            <w:pPr>
              <w:spacing w:after="30"/>
            </w:pPr>
            <w:r>
              <w:rPr>
                <w:rFonts w:ascii="Aptos" w:hAnsi="Aptos"/>
                <w:sz w:val="16"/>
              </w:rPr>
              <w:t>Named or active users as agreed</w:t>
            </w:r>
          </w:p>
        </w:tc>
      </w:tr>
      <w:tr>
        <w:tc>
          <w:tcPr>
            <w:tcW w:type="dxa" w:w="2541"/>
            <w:vAlign w:val="center"/>
          </w:tcPr>
          <w:p>
            <w:pPr>
              <w:spacing w:after="30"/>
            </w:pPr>
            <w:r>
              <w:rPr>
                <w:rFonts w:ascii="Aptos" w:hAnsi="Aptos"/>
                <w:sz w:val="16"/>
              </w:rPr>
              <w:t>Administrator Portal</w:t>
            </w:r>
          </w:p>
        </w:tc>
        <w:tc>
          <w:tcPr>
            <w:tcW w:type="dxa" w:w="2541"/>
            <w:vAlign w:val="center"/>
          </w:tcPr>
          <w:p>
            <w:pPr>
              <w:spacing w:after="30"/>
            </w:pPr>
            <w:r>
              <w:rPr>
                <w:rFonts w:ascii="Aptos" w:hAnsi="Aptos"/>
                <w:sz w:val="16"/>
              </w:rPr>
              <w:t>Yes</w:t>
            </w:r>
          </w:p>
        </w:tc>
        <w:tc>
          <w:tcPr>
            <w:tcW w:type="dxa" w:w="2541"/>
            <w:vAlign w:val="center"/>
          </w:tcPr>
          <w:p>
            <w:r>
              <w:t>1</w:t>
            </w:r>
          </w:p>
        </w:tc>
        <w:tc>
          <w:tcPr>
            <w:tcW w:type="dxa" w:w="2541"/>
            <w:vAlign w:val="center"/>
          </w:tcPr>
          <w:p>
            <w:pPr>
              <w:spacing w:after="30"/>
            </w:pPr>
            <w:r>
              <w:rPr>
                <w:rFonts w:ascii="Aptos" w:hAnsi="Aptos"/>
                <w:sz w:val="16"/>
              </w:rPr>
            </w:r>
          </w:p>
        </w:tc>
      </w:tr>
      <w:tr>
        <w:tc>
          <w:tcPr>
            <w:tcW w:type="dxa" w:w="2541"/>
            <w:vAlign w:val="center"/>
          </w:tcPr>
          <w:p>
            <w:pPr>
              <w:spacing w:after="30"/>
            </w:pPr>
            <w:r>
              <w:rPr>
                <w:rFonts w:ascii="Aptos" w:hAnsi="Aptos"/>
                <w:sz w:val="16"/>
              </w:rPr>
              <w:t>Staff Portal</w:t>
            </w:r>
          </w:p>
        </w:tc>
        <w:tc>
          <w:tcPr>
            <w:tcW w:type="dxa" w:w="2541"/>
            <w:vAlign w:val="center"/>
          </w:tcPr>
          <w:p>
            <w:pPr>
              <w:spacing w:after="30"/>
            </w:pPr>
            <w:r>
              <w:rPr>
                <w:rFonts w:ascii="Aptos" w:hAnsi="Aptos"/>
                <w:sz w:val="16"/>
              </w:rPr>
              <w:t>Yes</w:t>
            </w:r>
          </w:p>
        </w:tc>
        <w:tc>
          <w:tcPr>
            <w:tcW w:type="dxa" w:w="2541"/>
            <w:vAlign w:val="center"/>
          </w:tcPr>
          <w:p>
            <w:r>
              <w:t>1</w:t>
            </w:r>
          </w:p>
        </w:tc>
        <w:tc>
          <w:tcPr>
            <w:tcW w:type="dxa" w:w="2541"/>
            <w:vAlign w:val="center"/>
          </w:tcPr>
          <w:p>
            <w:pPr>
              <w:spacing w:after="30"/>
            </w:pPr>
            <w:r>
              <w:rPr>
                <w:rFonts w:ascii="Aptos" w:hAnsi="Aptos"/>
                <w:sz w:val="16"/>
              </w:rPr>
            </w:r>
          </w:p>
        </w:tc>
      </w:tr>
      <w:tr>
        <w:tc>
          <w:tcPr>
            <w:tcW w:type="dxa" w:w="2541"/>
            <w:vAlign w:val="center"/>
          </w:tcPr>
          <w:p>
            <w:pPr>
              <w:spacing w:after="30"/>
            </w:pPr>
            <w:r>
              <w:rPr>
                <w:rFonts w:ascii="Aptos" w:hAnsi="Aptos"/>
                <w:sz w:val="16"/>
              </w:rPr>
              <w:t>Client / Consumer Portal</w:t>
            </w:r>
          </w:p>
        </w:tc>
        <w:tc>
          <w:tcPr>
            <w:tcW w:type="dxa" w:w="2541"/>
            <w:vAlign w:val="center"/>
          </w:tcPr>
          <w:p>
            <w:pPr>
              <w:spacing w:after="30"/>
            </w:pPr>
            <w:r>
              <w:rPr>
                <w:rFonts w:ascii="Aptos" w:hAnsi="Aptos"/>
                <w:sz w:val="16"/>
              </w:rPr>
              <w:t>Yes</w:t>
            </w:r>
          </w:p>
        </w:tc>
        <w:tc>
          <w:tcPr>
            <w:tcW w:type="dxa" w:w="2541"/>
            <w:vAlign w:val="center"/>
          </w:tcPr>
          <w:p>
            <w:r>
              <w:t>0</w:t>
            </w:r>
          </w:p>
        </w:tc>
        <w:tc>
          <w:tcPr>
            <w:tcW w:type="dxa" w:w="2541"/>
            <w:vAlign w:val="center"/>
          </w:tcPr>
          <w:p>
            <w:pPr>
              <w:spacing w:after="30"/>
            </w:pPr>
            <w:r>
              <w:rPr>
                <w:rFonts w:ascii="Aptos" w:hAnsi="Aptos"/>
                <w:sz w:val="16"/>
              </w:rPr>
            </w:r>
          </w:p>
        </w:tc>
      </w:tr>
      <w:tr>
        <w:tc>
          <w:tcPr>
            <w:tcW w:type="dxa" w:w="2541"/>
            <w:vAlign w:val="center"/>
          </w:tcPr>
          <w:p>
            <w:pPr>
              <w:spacing w:after="30"/>
            </w:pPr>
            <w:r>
              <w:rPr>
                <w:rFonts w:ascii="Aptos" w:hAnsi="Aptos"/>
                <w:sz w:val="16"/>
              </w:rPr>
              <w:t>FMS Templates</w:t>
            </w:r>
          </w:p>
        </w:tc>
        <w:tc>
          <w:tcPr>
            <w:tcW w:type="dxa" w:w="2541"/>
            <w:vAlign w:val="center"/>
          </w:tcPr>
          <w:p>
            <w:pPr>
              <w:spacing w:after="30"/>
            </w:pPr>
            <w:r>
              <w:rPr>
                <w:rFonts w:ascii="Aptos" w:hAnsi="Aptos"/>
                <w:sz w:val="16"/>
              </w:rPr>
              <w:t>Yes</w:t>
            </w:r>
          </w:p>
        </w:tc>
        <w:tc>
          <w:tcPr>
            <w:tcW w:type="dxa" w:w="2541"/>
            <w:vAlign w:val="center"/>
          </w:tcPr>
          <w:p>
            <w:r>
              <w:t>40</w:t>
            </w:r>
          </w:p>
        </w:tc>
        <w:tc>
          <w:tcPr>
            <w:tcW w:type="dxa" w:w="2541"/>
            <w:vAlign w:val="center"/>
          </w:tcPr>
          <w:p>
            <w:pPr>
              <w:spacing w:after="30"/>
            </w:pPr>
            <w:r>
              <w:rPr>
                <w:rFonts w:ascii="Aptos" w:hAnsi="Aptos"/>
                <w:sz w:val="16"/>
              </w:rPr>
              <w:t>Additional templates chargeable</w:t>
            </w:r>
          </w:p>
        </w:tc>
      </w:tr>
      <w:tr>
        <w:tc>
          <w:tcPr>
            <w:tcW w:type="dxa" w:w="2541"/>
            <w:vAlign w:val="center"/>
          </w:tcPr>
          <w:p>
            <w:pPr>
              <w:spacing w:after="30"/>
            </w:pPr>
            <w:r>
              <w:rPr>
                <w:rFonts w:ascii="Aptos" w:hAnsi="Aptos"/>
                <w:sz w:val="16"/>
              </w:rPr>
              <w:t>Modules</w:t>
            </w:r>
          </w:p>
        </w:tc>
        <w:tc>
          <w:tcPr>
            <w:tcW w:type="dxa" w:w="2541"/>
            <w:vAlign w:val="center"/>
          </w:tcPr>
          <w:p>
            <w:r>
              <w:t>As selected in the executed Order Form and SOW</w:t>
            </w:r>
          </w:p>
        </w:tc>
        <w:tc>
          <w:tcPr>
            <w:tcW w:type="dxa" w:w="2541"/>
            <w:vAlign w:val="center"/>
          </w:tcPr>
          <w:p>
            <w:r>
              <w:t>45+</w:t>
            </w:r>
          </w:p>
        </w:tc>
        <w:tc>
          <w:tcPr>
            <w:tcW w:type="dxa" w:w="2541"/>
            <w:vAlign w:val="center"/>
          </w:tcPr>
          <w:p>
            <w:pPr>
              <w:spacing w:after="30"/>
            </w:pPr>
            <w:r>
              <w:rPr>
                <w:rFonts w:ascii="Aptos" w:hAnsi="Aptos"/>
                <w:sz w:val="16"/>
              </w:rPr>
            </w:r>
          </w:p>
        </w:tc>
      </w:tr>
      <w:tr>
        <w:tc>
          <w:tcPr>
            <w:tcW w:type="dxa" w:w="2541"/>
            <w:vAlign w:val="center"/>
          </w:tcPr>
          <w:p>
            <w:pPr>
              <w:spacing w:after="30"/>
            </w:pPr>
            <w:r>
              <w:rPr>
                <w:rFonts w:ascii="Aptos" w:hAnsi="Aptos"/>
                <w:sz w:val="16"/>
              </w:rPr>
              <w:t>Mobile responsive access</w:t>
            </w:r>
          </w:p>
        </w:tc>
        <w:tc>
          <w:tcPr>
            <w:tcW w:type="dxa" w:w="2541"/>
            <w:vAlign w:val="center"/>
          </w:tcPr>
          <w:p>
            <w:pPr>
              <w:spacing w:after="30"/>
            </w:pPr>
            <w:r>
              <w:rPr>
                <w:rFonts w:ascii="Aptos" w:hAnsi="Aptos"/>
                <w:sz w:val="16"/>
              </w:rPr>
              <w:t>Yes</w:t>
            </w:r>
          </w:p>
        </w:tc>
        <w:tc>
          <w:tcPr>
            <w:tcW w:type="dxa" w:w="2541"/>
            <w:vAlign w:val="center"/>
          </w:tcPr>
          <w:p>
            <w:pPr>
              <w:spacing w:after="30"/>
            </w:pPr>
            <w:r>
              <w:rPr>
                <w:rFonts w:ascii="Aptos" w:hAnsi="Aptos"/>
                <w:sz w:val="16"/>
              </w:rPr>
              <w:t>Included</w:t>
            </w:r>
          </w:p>
        </w:tc>
        <w:tc>
          <w:tcPr>
            <w:tcW w:type="dxa" w:w="2541"/>
            <w:vAlign w:val="center"/>
          </w:tcPr>
          <w:p>
            <w:pPr>
              <w:spacing w:after="30"/>
            </w:pPr>
            <w:r>
              <w:rPr>
                <w:rFonts w:ascii="Aptos" w:hAnsi="Aptos"/>
                <w:sz w:val="16"/>
              </w:rPr>
            </w:r>
          </w:p>
        </w:tc>
      </w:tr>
      <w:tr>
        <w:tc>
          <w:tcPr>
            <w:tcW w:type="dxa" w:w="2541"/>
            <w:vAlign w:val="center"/>
          </w:tcPr>
          <w:p>
            <w:pPr>
              <w:spacing w:after="30"/>
            </w:pPr>
            <w:r>
              <w:rPr>
                <w:rFonts w:ascii="Aptos" w:hAnsi="Aptos"/>
                <w:sz w:val="16"/>
              </w:rPr>
              <w:t>Native mobile app</w:t>
            </w:r>
          </w:p>
        </w:tc>
        <w:tc>
          <w:tcPr>
            <w:tcW w:type="dxa" w:w="2541"/>
            <w:vAlign w:val="center"/>
          </w:tcPr>
          <w:p>
            <w:r>
              <w:t>Yes</w:t>
            </w:r>
          </w:p>
        </w:tc>
        <w:tc>
          <w:tcPr>
            <w:tcW w:type="dxa" w:w="2541"/>
            <w:vAlign w:val="center"/>
          </w:tcPr>
          <w:p>
            <w:pPr>
              <w:spacing w:after="30"/>
            </w:pPr>
            <w:r>
              <w:rPr>
                <w:rFonts w:ascii="Aptos" w:hAnsi="Aptos"/>
                <w:sz w:val="16"/>
              </w:rPr>
              <w:t>[●]</w:t>
            </w:r>
          </w:p>
        </w:tc>
        <w:tc>
          <w:tcPr>
            <w:tcW w:type="dxa" w:w="2541"/>
            <w:vAlign w:val="center"/>
          </w:tcPr>
          <w:p>
            <w:pPr>
              <w:spacing w:after="30"/>
            </w:pPr>
            <w:r>
              <w:rPr>
                <w:rFonts w:ascii="Aptos" w:hAnsi="Aptos"/>
                <w:sz w:val="16"/>
              </w:rPr>
            </w:r>
          </w:p>
        </w:tc>
      </w:tr>
      <w:tr>
        <w:tc>
          <w:tcPr>
            <w:tcW w:type="dxa" w:w="2541"/>
            <w:vAlign w:val="center"/>
          </w:tcPr>
          <w:p>
            <w:pPr>
              <w:spacing w:after="30"/>
            </w:pPr>
            <w:r>
              <w:rPr>
                <w:rFonts w:ascii="Aptos" w:hAnsi="Aptos"/>
                <w:sz w:val="16"/>
              </w:rPr>
              <w:t>Data storage</w:t>
            </w:r>
          </w:p>
        </w:tc>
        <w:tc>
          <w:tcPr>
            <w:tcW w:type="dxa" w:w="2541"/>
            <w:vAlign w:val="center"/>
          </w:tcPr>
          <w:p>
            <w:r>
              <w:t>10 GB; overage At actuals / prevailing rate</w:t>
            </w:r>
          </w:p>
        </w:tc>
        <w:tc>
          <w:tcPr>
            <w:tcW w:type="dxa" w:w="2541"/>
            <w:vAlign w:val="center"/>
          </w:tcPr>
          <w:p>
            <w:pPr>
              <w:spacing w:after="30"/>
            </w:pPr>
            <w:r>
              <w:rPr>
                <w:rFonts w:ascii="Aptos" w:hAnsi="Aptos"/>
                <w:sz w:val="16"/>
              </w:rPr>
              <w:t>[●] GB</w:t>
            </w:r>
          </w:p>
        </w:tc>
        <w:tc>
          <w:tcPr>
            <w:tcW w:type="dxa" w:w="2541"/>
            <w:vAlign w:val="center"/>
          </w:tcPr>
          <w:p>
            <w:pPr>
              <w:spacing w:after="30"/>
            </w:pPr>
            <w:r>
              <w:rPr>
                <w:rFonts w:ascii="Aptos" w:hAnsi="Aptos"/>
                <w:sz w:val="16"/>
              </w:rPr>
              <w:t>Overage charge [●]</w:t>
            </w:r>
          </w:p>
        </w:tc>
      </w:tr>
      <w:tr>
        <w:tc>
          <w:tcPr>
            <w:tcW w:type="dxa" w:w="2541"/>
            <w:vAlign w:val="center"/>
          </w:tcPr>
          <w:p>
            <w:pPr>
              <w:spacing w:after="30"/>
            </w:pPr>
            <w:r>
              <w:rPr>
                <w:rFonts w:ascii="Aptos" w:hAnsi="Aptos"/>
                <w:sz w:val="16"/>
              </w:rPr>
              <w:t>Tally integration</w:t>
            </w:r>
          </w:p>
        </w:tc>
        <w:tc>
          <w:tcPr>
            <w:tcW w:type="dxa" w:w="2541"/>
            <w:vAlign w:val="center"/>
          </w:tcPr>
          <w:p>
            <w:r>
              <w:t>Yes; 0 companies</w:t>
            </w:r>
          </w:p>
        </w:tc>
        <w:tc>
          <w:tcPr>
            <w:tcW w:type="dxa" w:w="2541"/>
            <w:vAlign w:val="center"/>
          </w:tcPr>
          <w:p>
            <w:pPr>
              <w:spacing w:after="30"/>
            </w:pPr>
            <w:r>
              <w:rPr>
                <w:rFonts w:ascii="Aptos" w:hAnsi="Aptos"/>
                <w:sz w:val="16"/>
              </w:rPr>
              <w:t>[●] companies</w:t>
            </w:r>
          </w:p>
        </w:tc>
        <w:tc>
          <w:tcPr>
            <w:tcW w:type="dxa" w:w="2541"/>
            <w:vAlign w:val="center"/>
          </w:tcPr>
          <w:p>
            <w:pPr>
              <w:spacing w:after="30"/>
            </w:pPr>
            <w:r>
              <w:rPr>
                <w:rFonts w:ascii="Aptos" w:hAnsi="Aptos"/>
                <w:sz w:val="16"/>
              </w:rPr>
              <w:t>Separate finance module if applicable</w:t>
            </w:r>
          </w:p>
        </w:tc>
      </w:tr>
      <w:tr>
        <w:tc>
          <w:tcPr>
            <w:tcW w:type="dxa" w:w="2541"/>
            <w:vAlign w:val="center"/>
          </w:tcPr>
          <w:p>
            <w:pPr>
              <w:spacing w:after="30"/>
            </w:pPr>
            <w:r>
              <w:rPr>
                <w:rFonts w:ascii="Aptos" w:hAnsi="Aptos"/>
                <w:sz w:val="16"/>
              </w:rPr>
              <w:t>WhatsApp setup bonus</w:t>
            </w:r>
          </w:p>
        </w:tc>
        <w:tc>
          <w:tcPr>
            <w:tcW w:type="dxa" w:w="2541"/>
            <w:vAlign w:val="center"/>
          </w:tcPr>
          <w:p>
            <w:r>
              <w:t>Yes - setup only; carrier/API/usage extra</w:t>
            </w:r>
          </w:p>
        </w:tc>
        <w:tc>
          <w:tcPr>
            <w:tcW w:type="dxa" w:w="2541"/>
            <w:vAlign w:val="center"/>
          </w:tcPr>
          <w:p>
            <w:pPr>
              <w:spacing w:after="30"/>
            </w:pPr>
            <w:r>
              <w:rPr>
                <w:rFonts w:ascii="Aptos" w:hAnsi="Aptos"/>
                <w:sz w:val="16"/>
              </w:rPr>
              <w:t>Setup only</w:t>
            </w:r>
          </w:p>
        </w:tc>
        <w:tc>
          <w:tcPr>
            <w:tcW w:type="dxa" w:w="2541"/>
            <w:vAlign w:val="center"/>
          </w:tcPr>
          <w:p>
            <w:pPr>
              <w:spacing w:after="30"/>
            </w:pPr>
            <w:r>
              <w:rPr>
                <w:rFonts w:ascii="Aptos" w:hAnsi="Aptos"/>
                <w:sz w:val="16"/>
              </w:rPr>
              <w:t>Carrier/API/usage extra</w:t>
            </w:r>
          </w:p>
        </w:tc>
      </w:tr>
      <w:tr>
        <w:tc>
          <w:tcPr>
            <w:tcW w:type="dxa" w:w="2541"/>
            <w:vAlign w:val="center"/>
          </w:tcPr>
          <w:p>
            <w:pPr>
              <w:spacing w:after="30"/>
            </w:pPr>
            <w:r>
              <w:rPr>
                <w:rFonts w:ascii="Aptos" w:hAnsi="Aptos"/>
                <w:sz w:val="16"/>
              </w:rPr>
              <w:t>Video integration setup bonus</w:t>
            </w:r>
          </w:p>
        </w:tc>
        <w:tc>
          <w:tcPr>
            <w:tcW w:type="dxa" w:w="2541"/>
            <w:vAlign w:val="center"/>
          </w:tcPr>
          <w:p>
            <w:r>
              <w:t>Yes - setup only; provider/usage extra</w:t>
            </w:r>
          </w:p>
        </w:tc>
        <w:tc>
          <w:tcPr>
            <w:tcW w:type="dxa" w:w="2541"/>
            <w:vAlign w:val="center"/>
          </w:tcPr>
          <w:p>
            <w:pPr>
              <w:spacing w:after="30"/>
            </w:pPr>
            <w:r>
              <w:rPr>
                <w:rFonts w:ascii="Aptos" w:hAnsi="Aptos"/>
                <w:sz w:val="16"/>
              </w:rPr>
              <w:t>Setup only</w:t>
            </w:r>
          </w:p>
        </w:tc>
        <w:tc>
          <w:tcPr>
            <w:tcW w:type="dxa" w:w="2541"/>
            <w:vAlign w:val="center"/>
          </w:tcPr>
          <w:p>
            <w:pPr>
              <w:spacing w:after="30"/>
            </w:pPr>
            <w:r>
              <w:rPr>
                <w:rFonts w:ascii="Aptos" w:hAnsi="Aptos"/>
                <w:sz w:val="16"/>
              </w:rPr>
              <w:t>Provider subscription/usage extra</w:t>
            </w:r>
          </w:p>
        </w:tc>
      </w:tr>
    </w:tbl>
    <w:p>
      <w:pPr>
        <w:pStyle w:val="Heading2"/>
      </w:pPr>
      <w:r>
        <w:t>3. Fees and Payment</w:t>
      </w:r>
    </w:p>
    <w:tbl>
      <w:tblPr>
        <w:tblStyle w:val="TableGrid"/>
        <w:tblW w:type="auto" w:w="0"/>
        <w:jc w:val="center"/>
        <w:tblLayout w:type="autofit"/>
        <w:tblLook w:firstColumn="1" w:firstRow="1" w:lastColumn="0" w:lastRow="0" w:noHBand="0" w:noVBand="1" w:val="04A0"/>
      </w:tblPr>
      <w:tblGrid>
        <w:gridCol w:w="2541"/>
        <w:gridCol w:w="2541"/>
        <w:gridCol w:w="2541"/>
        <w:gridCol w:w="2541"/>
      </w:tblGrid>
      <w:tr>
        <w:tc>
          <w:tcPr>
            <w:tcW w:type="dxa" w:w="2541"/>
            <w:shd w:fill="D85A1A"/>
            <w:vAlign w:val="center"/>
          </w:tcPr>
          <w:p>
            <w:pPr>
              <w:spacing w:after="30"/>
            </w:pPr>
            <w:r>
              <w:rPr>
                <w:rFonts w:ascii="Aptos" w:hAnsi="Aptos"/>
                <w:b/>
                <w:color w:val="FFFFFF"/>
                <w:sz w:val="16"/>
              </w:rPr>
              <w:t>Fee Component</w:t>
            </w:r>
          </w:p>
        </w:tc>
        <w:tc>
          <w:tcPr>
            <w:tcW w:type="dxa" w:w="2541"/>
            <w:shd w:fill="D85A1A"/>
            <w:vAlign w:val="center"/>
          </w:tcPr>
          <w:p>
            <w:pPr>
              <w:spacing w:after="30"/>
            </w:pPr>
            <w:r>
              <w:rPr>
                <w:rFonts w:ascii="Aptos" w:hAnsi="Aptos"/>
                <w:b/>
                <w:color w:val="FFFFFF"/>
                <w:sz w:val="16"/>
              </w:rPr>
              <w:t>Amount (INR)</w:t>
            </w:r>
          </w:p>
        </w:tc>
        <w:tc>
          <w:tcPr>
            <w:tcW w:type="dxa" w:w="2541"/>
            <w:shd w:fill="D85A1A"/>
            <w:vAlign w:val="center"/>
          </w:tcPr>
          <w:p>
            <w:pPr>
              <w:spacing w:after="30"/>
            </w:pPr>
            <w:r>
              <w:rPr>
                <w:rFonts w:ascii="Aptos" w:hAnsi="Aptos"/>
                <w:b/>
                <w:color w:val="FFFFFF"/>
                <w:sz w:val="16"/>
              </w:rPr>
              <w:t>Due Date / Milestone</w:t>
            </w:r>
          </w:p>
        </w:tc>
        <w:tc>
          <w:tcPr>
            <w:tcW w:type="dxa" w:w="2541"/>
            <w:shd w:fill="D85A1A"/>
            <w:vAlign w:val="center"/>
          </w:tcPr>
          <w:p>
            <w:pPr>
              <w:spacing w:after="30"/>
            </w:pPr>
            <w:r>
              <w:rPr>
                <w:rFonts w:ascii="Aptos" w:hAnsi="Aptos"/>
                <w:b/>
                <w:color w:val="FFFFFF"/>
                <w:sz w:val="16"/>
              </w:rPr>
              <w:t>Tax</w:t>
            </w:r>
          </w:p>
        </w:tc>
      </w:tr>
      <w:tr>
        <w:tc>
          <w:tcPr>
            <w:tcW w:type="dxa" w:w="2541"/>
            <w:vAlign w:val="center"/>
          </w:tcPr>
          <w:p>
            <w:pPr>
              <w:spacing w:after="30"/>
            </w:pPr>
            <w:r>
              <w:rPr>
                <w:rFonts w:ascii="Aptos" w:hAnsi="Aptos"/>
                <w:sz w:val="16"/>
              </w:rPr>
              <w:t>Annual platform subscription</w:t>
            </w:r>
          </w:p>
        </w:tc>
        <w:tc>
          <w:tcPr>
            <w:tcW w:type="dxa" w:w="2541"/>
            <w:vAlign w:val="center"/>
          </w:tcPr>
          <w:p>
            <w:r>
              <w:t>₹0</w:t>
            </w:r>
          </w:p>
        </w:tc>
        <w:tc>
          <w:tcPr>
            <w:tcW w:type="dxa" w:w="2541"/>
            <w:vAlign w:val="center"/>
          </w:tcPr>
          <w:p>
            <w:pPr>
              <w:spacing w:after="30"/>
            </w:pPr>
            <w:r>
              <w:rPr>
                <w:rFonts w:ascii="Aptos" w:hAnsi="Aptos"/>
                <w:sz w:val="16"/>
              </w:rPr>
              <w:t>[●]</w:t>
            </w:r>
          </w:p>
        </w:tc>
        <w:tc>
          <w:tcPr>
            <w:tcW w:type="dxa" w:w="2541"/>
            <w:vAlign w:val="center"/>
          </w:tcPr>
          <w:p>
            <w:pPr>
              <w:spacing w:after="30"/>
            </w:pPr>
            <w:r>
              <w:rPr>
                <w:rFonts w:ascii="Aptos" w:hAnsi="Aptos"/>
                <w:sz w:val="16"/>
              </w:rPr>
              <w:t>GST extra</w:t>
            </w:r>
          </w:p>
        </w:tc>
      </w:tr>
      <w:tr>
        <w:tc>
          <w:tcPr>
            <w:tcW w:type="dxa" w:w="2541"/>
            <w:vAlign w:val="center"/>
          </w:tcPr>
          <w:p>
            <w:pPr>
              <w:spacing w:after="30"/>
            </w:pPr>
            <w:r>
              <w:rPr>
                <w:rFonts w:ascii="Aptos" w:hAnsi="Aptos"/>
                <w:sz w:val="16"/>
              </w:rPr>
              <w:t>Implementation and configuration</w:t>
            </w:r>
          </w:p>
        </w:tc>
        <w:tc>
          <w:tcPr>
            <w:tcW w:type="dxa" w:w="2541"/>
            <w:vAlign w:val="center"/>
          </w:tcPr>
          <w:p>
            <w:r>
              <w:t>₹1</w:t>
            </w:r>
          </w:p>
        </w:tc>
        <w:tc>
          <w:tcPr>
            <w:tcW w:type="dxa" w:w="2541"/>
            <w:vAlign w:val="center"/>
          </w:tcPr>
          <w:p>
            <w:pPr>
              <w:spacing w:after="30"/>
            </w:pPr>
            <w:r>
              <w:rPr>
                <w:rFonts w:ascii="Aptos" w:hAnsi="Aptos"/>
                <w:sz w:val="16"/>
              </w:rPr>
              <w:t>[●]</w:t>
            </w:r>
          </w:p>
        </w:tc>
        <w:tc>
          <w:tcPr>
            <w:tcW w:type="dxa" w:w="2541"/>
            <w:vAlign w:val="center"/>
          </w:tcPr>
          <w:p>
            <w:pPr>
              <w:spacing w:after="30"/>
            </w:pPr>
            <w:r>
              <w:rPr>
                <w:rFonts w:ascii="Aptos" w:hAnsi="Aptos"/>
                <w:sz w:val="16"/>
              </w:rPr>
              <w:t>GST extra</w:t>
            </w:r>
          </w:p>
        </w:tc>
      </w:tr>
      <w:tr>
        <w:tc>
          <w:tcPr>
            <w:tcW w:type="dxa" w:w="2541"/>
            <w:vAlign w:val="center"/>
          </w:tcPr>
          <w:p>
            <w:pPr>
              <w:spacing w:after="30"/>
            </w:pPr>
            <w:r>
              <w:rPr>
                <w:rFonts w:ascii="Aptos" w:hAnsi="Aptos"/>
                <w:sz w:val="16"/>
              </w:rPr>
              <w:t>Customisation / integration</w:t>
            </w:r>
          </w:p>
        </w:tc>
        <w:tc>
          <w:tcPr>
            <w:tcW w:type="dxa" w:w="2541"/>
            <w:vAlign w:val="center"/>
          </w:tcPr>
          <w:p>
            <w:r>
              <w:t>₹0</w:t>
            </w:r>
          </w:p>
        </w:tc>
        <w:tc>
          <w:tcPr>
            <w:tcW w:type="dxa" w:w="2541"/>
            <w:vAlign w:val="center"/>
          </w:tcPr>
          <w:p>
            <w:pPr>
              <w:spacing w:after="30"/>
            </w:pPr>
            <w:r>
              <w:rPr>
                <w:rFonts w:ascii="Aptos" w:hAnsi="Aptos"/>
                <w:sz w:val="16"/>
              </w:rPr>
              <w:t>[●]</w:t>
            </w:r>
          </w:p>
        </w:tc>
        <w:tc>
          <w:tcPr>
            <w:tcW w:type="dxa" w:w="2541"/>
            <w:vAlign w:val="center"/>
          </w:tcPr>
          <w:p>
            <w:pPr>
              <w:spacing w:after="30"/>
            </w:pPr>
            <w:r>
              <w:rPr>
                <w:rFonts w:ascii="Aptos" w:hAnsi="Aptos"/>
                <w:sz w:val="16"/>
              </w:rPr>
              <w:t>GST extra</w:t>
            </w:r>
          </w:p>
        </w:tc>
      </w:tr>
      <w:tr>
        <w:tc>
          <w:tcPr>
            <w:tcW w:type="dxa" w:w="2541"/>
            <w:vAlign w:val="center"/>
          </w:tcPr>
          <w:p>
            <w:pPr>
              <w:spacing w:after="30"/>
            </w:pPr>
            <w:r>
              <w:rPr>
                <w:rFonts w:ascii="Aptos" w:hAnsi="Aptos"/>
                <w:sz w:val="16"/>
              </w:rPr>
              <w:t>Third-party / usage charges</w:t>
            </w:r>
          </w:p>
        </w:tc>
        <w:tc>
          <w:tcPr>
            <w:tcW w:type="dxa" w:w="2541"/>
            <w:vAlign w:val="center"/>
          </w:tcPr>
          <w:p>
            <w:pPr>
              <w:spacing w:after="30"/>
            </w:pPr>
            <w:r>
              <w:rPr>
                <w:rFonts w:ascii="Aptos" w:hAnsi="Aptos"/>
                <w:sz w:val="16"/>
              </w:rPr>
              <w:t>At actuals + applicable management charge</w:t>
            </w:r>
          </w:p>
        </w:tc>
        <w:tc>
          <w:tcPr>
            <w:tcW w:type="dxa" w:w="2541"/>
            <w:vAlign w:val="center"/>
          </w:tcPr>
          <w:p>
            <w:pPr>
              <w:spacing w:after="30"/>
            </w:pPr>
            <w:r>
              <w:rPr>
                <w:rFonts w:ascii="Aptos" w:hAnsi="Aptos"/>
                <w:sz w:val="16"/>
              </w:rPr>
              <w:t>As incurred</w:t>
            </w:r>
          </w:p>
        </w:tc>
        <w:tc>
          <w:tcPr>
            <w:tcW w:type="dxa" w:w="2541"/>
            <w:vAlign w:val="center"/>
          </w:tcPr>
          <w:p>
            <w:pPr>
              <w:spacing w:after="30"/>
            </w:pPr>
            <w:r>
              <w:rPr>
                <w:rFonts w:ascii="Aptos" w:hAnsi="Aptos"/>
                <w:sz w:val="16"/>
              </w:rPr>
              <w:t>GST extra</w:t>
            </w:r>
          </w:p>
        </w:tc>
      </w:tr>
      <w:tr>
        <w:tc>
          <w:tcPr>
            <w:tcW w:type="dxa" w:w="2541"/>
            <w:vAlign w:val="center"/>
          </w:tcPr>
          <w:p>
            <w:pPr>
              <w:spacing w:after="30"/>
            </w:pPr>
            <w:r>
              <w:rPr>
                <w:rFonts w:ascii="Aptos" w:hAnsi="Aptos"/>
                <w:sz w:val="16"/>
              </w:rPr>
              <w:t>Total first-year commitment</w:t>
            </w:r>
          </w:p>
        </w:tc>
        <w:tc>
          <w:tcPr>
            <w:tcW w:type="dxa" w:w="2541"/>
            <w:vAlign w:val="center"/>
          </w:tcPr>
          <w:p>
            <w:r>
              <w:t>₹1</w:t>
            </w:r>
          </w:p>
        </w:tc>
        <w:tc>
          <w:tcPr>
            <w:tcW w:type="dxa" w:w="2541"/>
            <w:vAlign w:val="center"/>
          </w:tcPr>
          <w:p>
            <w:pPr>
              <w:spacing w:after="30"/>
            </w:pPr>
            <w:r>
              <w:rPr>
                <w:rFonts w:ascii="Aptos" w:hAnsi="Aptos"/>
                <w:sz w:val="16"/>
              </w:rPr>
              <w:t>As per payment schedule</w:t>
            </w:r>
          </w:p>
        </w:tc>
        <w:tc>
          <w:tcPr>
            <w:tcW w:type="dxa" w:w="2541"/>
            <w:vAlign w:val="center"/>
          </w:tcPr>
          <w:p>
            <w:pPr>
              <w:spacing w:after="30"/>
            </w:pPr>
            <w:r>
              <w:rPr>
                <w:rFonts w:ascii="Aptos" w:hAnsi="Aptos"/>
                <w:sz w:val="16"/>
              </w:rPr>
              <w:t>GST extra</w:t>
            </w:r>
          </w:p>
        </w:tc>
      </w:tr>
    </w:tbl>
    <w:p>
      <w:pPr>
        <w:pStyle w:val="Clause"/>
        <w:keepLines/>
      </w:pPr>
      <w:r>
        <w:t>Payment schedule: [50% on confirmation; 25% during configuration; 25% at go-live] / [custom schedule]. Invoice due period: [7] days. Renewal escalation: [10%] annually. Travel and out-of-pocket expenses: [included / at actuals with prior approval].</w:t>
      </w:r>
    </w:p>
    <w:p>
      <w:pPr>
        <w:pStyle w:val="Heading2"/>
      </w:pPr>
      <w:r>
        <w:t>4. Additional Charges</w:t>
      </w:r>
    </w:p>
    <w:p>
      <w:pPr>
        <w:pStyle w:val="ListBullet"/>
        <w:spacing w:after="40"/>
      </w:pPr>
      <w:r>
        <w:t>Additional user: ₹[●] per user per [month/year].</w:t>
      </w:r>
    </w:p>
    <w:p>
      <w:pPr>
        <w:pStyle w:val="ListBullet"/>
        <w:spacing w:after="40"/>
      </w:pPr>
      <w:r>
        <w:t>Additional FMS template: ₹[●] per template.</w:t>
      </w:r>
    </w:p>
    <w:p>
      <w:pPr>
        <w:pStyle w:val="ListBullet"/>
        <w:spacing w:after="40"/>
      </w:pPr>
      <w:r>
        <w:t>Additional entity / Tally company: ₹[●] per year.</w:t>
      </w:r>
    </w:p>
    <w:p>
      <w:pPr>
        <w:pStyle w:val="ListBullet"/>
        <w:spacing w:after="40"/>
      </w:pPr>
      <w:r>
        <w:t>Additional storage: ₹[●] per GB per month.</w:t>
      </w:r>
    </w:p>
    <w:p>
      <w:pPr>
        <w:pStyle w:val="ListBullet"/>
        <w:spacing w:after="40"/>
      </w:pPr>
      <w:r>
        <w:t>Custom integration, migration, report or workflow: as per approved change request.</w:t>
      </w:r>
    </w:p>
    <w:p>
      <w:pPr>
        <w:pStyle w:val="ListBullet"/>
        <w:spacing w:after="40"/>
      </w:pPr>
      <w:r>
        <w:t>Priority or extended-hours support: ₹[●].</w:t>
      </w:r>
    </w:p>
    <w:p>
      <w:pPr>
        <w:pStyle w:val="Heading2"/>
      </w:pPr>
      <w:r>
        <w:t>5. Special Commercial Conditions</w:t>
      </w:r>
    </w:p>
    <w:p>
      <w:pPr>
        <w:pStyle w:val="Clause"/>
        <w:keepLines/>
      </w:pPr>
      <w:r>
        <w:t>[Insert founding-member benefit, discount conditions, case-study condition, non-transferability, price lock, or other negotiated terms.]</w:t>
      </w:r>
    </w:p>
    <w:p>
      <w:r>
        <w:br w:type="page"/>
      </w:r>
    </w:p>
    <w:tbl>
      <w:tblPr>
        <w:tblW w:type="auto" w:w="0"/>
        <w:jc w:val="center"/>
        <w:tblLayout w:type="autofit"/>
        <w:tblLook w:firstColumn="1" w:firstRow="1" w:lastColumn="0" w:lastRow="0" w:noHBand="0" w:noVBand="1" w:val="04A0"/>
      </w:tblPr>
      <w:tblGrid>
        <w:gridCol w:w="10166"/>
      </w:tblGrid>
      <w:tr>
        <w:tc>
          <w:tcPr>
            <w:tcW w:type="dxa" w:w="10166"/>
            <w:shd w:fill="0B1F33"/>
            <w:tcMar>
              <w:top w:w="300" w:type="dxa"/>
              <w:start w:w="300" w:type="dxa"/>
              <w:bottom w:w="300" w:type="dxa"/>
              <w:end w:w="300" w:type="dxa"/>
            </w:tcMar>
            <w:vAlign w:val="center"/>
          </w:tcPr>
          <w:p>
            <w:pPr>
              <w:spacing w:after="30"/>
              <w:jc w:val="center"/>
            </w:pPr>
            <w:r>
              <w:rPr>
                <w:rFonts w:ascii="Aptos" w:hAnsi="Aptos"/>
                <w:b/>
                <w:color w:val="FFFFFF"/>
                <w:sz w:val="16"/>
              </w:rPr>
              <w:t>SCHEDULE 2</w:t>
              <w:br/>
              <w:t>STATEMENT OF WORK AND ACCEPTANCE</w:t>
            </w:r>
          </w:p>
          <w:p>
            <w:pPr>
              <w:spacing w:after="30"/>
              <w:jc w:val="center"/>
            </w:pPr>
            <w:r>
              <w:rPr>
                <w:rFonts w:ascii="Aptos" w:hAnsi="Aptos"/>
                <w:color w:val="FED7AA"/>
                <w:sz w:val="16"/>
              </w:rPr>
              <w:t>Implementation, configuration, training and go-live framework.</w:t>
            </w:r>
          </w:p>
        </w:tc>
      </w:tr>
    </w:tbl>
    <w:p>
      <w:pPr>
        <w:pStyle w:val="Heading2"/>
      </w:pPr>
      <w:r>
        <w:t>1. Project Objective</w:t>
      </w:r>
    </w:p>
    <w:p>
      <w:pPr>
        <w:pStyle w:val="Clause"/>
        <w:keepLines/>
      </w:pPr>
      <w:r>
        <w:t>To configure and implement Bizzomation as an operational control and accountability system for the Client, including agreed workflows, delegations, recurring checklists, access roles, portals, dashboards, MIS scoring, user training and go-live support.</w:t>
      </w:r>
    </w:p>
    <w:p>
      <w:pPr>
        <w:pStyle w:val="Heading2"/>
      </w:pPr>
      <w:r>
        <w:t>2. Included Deliverables</w:t>
      </w:r>
    </w:p>
    <w:tbl>
      <w:tblPr>
        <w:tblStyle w:val="TableGrid"/>
        <w:tblW w:type="auto" w:w="0"/>
        <w:jc w:val="center"/>
        <w:tblLayout w:type="autofit"/>
        <w:tblLook w:firstColumn="1" w:firstRow="1" w:lastColumn="0" w:lastRow="0" w:noHBand="0" w:noVBand="1" w:val="04A0"/>
      </w:tblPr>
      <w:tblGrid>
        <w:gridCol w:w="2541"/>
        <w:gridCol w:w="2541"/>
        <w:gridCol w:w="2541"/>
        <w:gridCol w:w="2541"/>
      </w:tblGrid>
      <w:tr>
        <w:tc>
          <w:tcPr>
            <w:tcW w:type="dxa" w:w="2541"/>
            <w:shd w:fill="0B1F33"/>
            <w:vAlign w:val="center"/>
          </w:tcPr>
          <w:p>
            <w:pPr>
              <w:spacing w:after="30"/>
            </w:pPr>
            <w:r>
              <w:rPr>
                <w:rFonts w:ascii="Aptos" w:hAnsi="Aptos"/>
                <w:b/>
                <w:color w:val="FFFFFF"/>
                <w:sz w:val="16"/>
              </w:rPr>
              <w:t>Workstream</w:t>
            </w:r>
          </w:p>
        </w:tc>
        <w:tc>
          <w:tcPr>
            <w:tcW w:type="dxa" w:w="2541"/>
            <w:shd w:fill="0B1F33"/>
            <w:vAlign w:val="center"/>
          </w:tcPr>
          <w:p>
            <w:pPr>
              <w:spacing w:after="30"/>
            </w:pPr>
            <w:r>
              <w:rPr>
                <w:rFonts w:ascii="Aptos" w:hAnsi="Aptos"/>
                <w:b/>
                <w:color w:val="FFFFFF"/>
                <w:sz w:val="16"/>
              </w:rPr>
              <w:t>Deliverable</w:t>
            </w:r>
          </w:p>
        </w:tc>
        <w:tc>
          <w:tcPr>
            <w:tcW w:type="dxa" w:w="2541"/>
            <w:shd w:fill="0B1F33"/>
            <w:vAlign w:val="center"/>
          </w:tcPr>
          <w:p>
            <w:pPr>
              <w:spacing w:after="30"/>
            </w:pPr>
            <w:r>
              <w:rPr>
                <w:rFonts w:ascii="Aptos" w:hAnsi="Aptos"/>
                <w:b/>
                <w:color w:val="FFFFFF"/>
                <w:sz w:val="16"/>
              </w:rPr>
              <w:t>Client Input</w:t>
            </w:r>
          </w:p>
        </w:tc>
        <w:tc>
          <w:tcPr>
            <w:tcW w:type="dxa" w:w="2541"/>
            <w:shd w:fill="0B1F33"/>
            <w:vAlign w:val="center"/>
          </w:tcPr>
          <w:p>
            <w:pPr>
              <w:spacing w:after="30"/>
            </w:pPr>
            <w:r>
              <w:rPr>
                <w:rFonts w:ascii="Aptos" w:hAnsi="Aptos"/>
                <w:b/>
                <w:color w:val="FFFFFF"/>
                <w:sz w:val="16"/>
              </w:rPr>
              <w:t>Acceptance Evidence</w:t>
            </w:r>
          </w:p>
        </w:tc>
      </w:tr>
      <w:tr>
        <w:tc>
          <w:tcPr>
            <w:tcW w:type="dxa" w:w="2541"/>
            <w:vAlign w:val="center"/>
          </w:tcPr>
          <w:p>
            <w:pPr>
              <w:spacing w:after="30"/>
            </w:pPr>
            <w:r>
              <w:rPr>
                <w:rFonts w:ascii="Aptos" w:hAnsi="Aptos"/>
                <w:sz w:val="16"/>
              </w:rPr>
              <w:t>Discovery</w:t>
            </w:r>
          </w:p>
        </w:tc>
        <w:tc>
          <w:tcPr>
            <w:tcW w:type="dxa" w:w="2541"/>
            <w:vAlign w:val="center"/>
          </w:tcPr>
          <w:p>
            <w:pPr>
              <w:spacing w:after="30"/>
            </w:pPr>
            <w:r>
              <w:rPr>
                <w:rFonts w:ascii="Aptos" w:hAnsi="Aptos"/>
                <w:sz w:val="16"/>
              </w:rPr>
              <w:t>Operational-control discovery and priority process list</w:t>
            </w:r>
          </w:p>
        </w:tc>
        <w:tc>
          <w:tcPr>
            <w:tcW w:type="dxa" w:w="2541"/>
            <w:vAlign w:val="center"/>
          </w:tcPr>
          <w:p>
            <w:pPr>
              <w:spacing w:after="30"/>
            </w:pPr>
            <w:r>
              <w:rPr>
                <w:rFonts w:ascii="Aptos" w:hAnsi="Aptos"/>
                <w:sz w:val="16"/>
              </w:rPr>
              <w:t>Interviews, records, responsible coordinator</w:t>
            </w:r>
          </w:p>
        </w:tc>
        <w:tc>
          <w:tcPr>
            <w:tcW w:type="dxa" w:w="2541"/>
            <w:vAlign w:val="center"/>
          </w:tcPr>
          <w:p>
            <w:pPr>
              <w:spacing w:after="30"/>
            </w:pPr>
            <w:r>
              <w:rPr>
                <w:rFonts w:ascii="Aptos" w:hAnsi="Aptos"/>
                <w:sz w:val="16"/>
              </w:rPr>
              <w:t>Approved process inventory</w:t>
            </w:r>
          </w:p>
        </w:tc>
      </w:tr>
      <w:tr>
        <w:tc>
          <w:tcPr>
            <w:tcW w:type="dxa" w:w="2541"/>
            <w:vAlign w:val="center"/>
          </w:tcPr>
          <w:p>
            <w:pPr>
              <w:spacing w:after="30"/>
            </w:pPr>
            <w:r>
              <w:rPr>
                <w:rFonts w:ascii="Aptos" w:hAnsi="Aptos"/>
                <w:sz w:val="16"/>
              </w:rPr>
              <w:t>Design</w:t>
            </w:r>
          </w:p>
        </w:tc>
        <w:tc>
          <w:tcPr>
            <w:tcW w:type="dxa" w:w="2541"/>
            <w:vAlign w:val="center"/>
          </w:tcPr>
          <w:p>
            <w:pPr>
              <w:spacing w:after="30"/>
            </w:pPr>
            <w:r>
              <w:rPr>
                <w:rFonts w:ascii="Aptos" w:hAnsi="Aptos"/>
                <w:sz w:val="16"/>
              </w:rPr>
              <w:t>Process maps, roles, timelines, checklists, escalation and buddy logic</w:t>
            </w:r>
          </w:p>
        </w:tc>
        <w:tc>
          <w:tcPr>
            <w:tcW w:type="dxa" w:w="2541"/>
            <w:vAlign w:val="center"/>
          </w:tcPr>
          <w:p>
            <w:pPr>
              <w:spacing w:after="30"/>
            </w:pPr>
            <w:r>
              <w:rPr>
                <w:rFonts w:ascii="Aptos" w:hAnsi="Aptos"/>
                <w:sz w:val="16"/>
              </w:rPr>
              <w:t>Timely validation and decisions</w:t>
            </w:r>
          </w:p>
        </w:tc>
        <w:tc>
          <w:tcPr>
            <w:tcW w:type="dxa" w:w="2541"/>
            <w:vAlign w:val="center"/>
          </w:tcPr>
          <w:p>
            <w:pPr>
              <w:spacing w:after="30"/>
            </w:pPr>
            <w:r>
              <w:rPr>
                <w:rFonts w:ascii="Aptos" w:hAnsi="Aptos"/>
                <w:sz w:val="16"/>
              </w:rPr>
              <w:t>Written/design approval</w:t>
            </w:r>
          </w:p>
        </w:tc>
      </w:tr>
      <w:tr>
        <w:tc>
          <w:tcPr>
            <w:tcW w:type="dxa" w:w="2541"/>
            <w:vAlign w:val="center"/>
          </w:tcPr>
          <w:p>
            <w:pPr>
              <w:spacing w:after="30"/>
            </w:pPr>
            <w:r>
              <w:rPr>
                <w:rFonts w:ascii="Aptos" w:hAnsi="Aptos"/>
                <w:sz w:val="16"/>
              </w:rPr>
              <w:t>Configuration</w:t>
            </w:r>
          </w:p>
        </w:tc>
        <w:tc>
          <w:tcPr>
            <w:tcW w:type="dxa" w:w="2541"/>
            <w:vAlign w:val="center"/>
          </w:tcPr>
          <w:p>
            <w:pPr>
              <w:spacing w:after="30"/>
            </w:pPr>
            <w:r>
              <w:rPr>
                <w:rFonts w:ascii="Aptos" w:hAnsi="Aptos"/>
                <w:sz w:val="16"/>
              </w:rPr>
              <w:t>Users, roles, portals, modules, FMS templates and dashboards</w:t>
            </w:r>
          </w:p>
        </w:tc>
        <w:tc>
          <w:tcPr>
            <w:tcW w:type="dxa" w:w="2541"/>
            <w:vAlign w:val="center"/>
          </w:tcPr>
          <w:p>
            <w:pPr>
              <w:spacing w:after="30"/>
            </w:pPr>
            <w:r>
              <w:rPr>
                <w:rFonts w:ascii="Aptos" w:hAnsi="Aptos"/>
                <w:sz w:val="16"/>
              </w:rPr>
              <w:t>User masters and access matrix</w:t>
            </w:r>
          </w:p>
        </w:tc>
        <w:tc>
          <w:tcPr>
            <w:tcW w:type="dxa" w:w="2541"/>
            <w:vAlign w:val="center"/>
          </w:tcPr>
          <w:p>
            <w:pPr>
              <w:spacing w:after="30"/>
            </w:pPr>
            <w:r>
              <w:rPr>
                <w:rFonts w:ascii="Aptos" w:hAnsi="Aptos"/>
                <w:sz w:val="16"/>
              </w:rPr>
              <w:t>Configuration demonstration</w:t>
            </w:r>
          </w:p>
        </w:tc>
      </w:tr>
      <w:tr>
        <w:tc>
          <w:tcPr>
            <w:tcW w:type="dxa" w:w="2541"/>
            <w:vAlign w:val="center"/>
          </w:tcPr>
          <w:p>
            <w:pPr>
              <w:spacing w:after="30"/>
            </w:pPr>
            <w:r>
              <w:rPr>
                <w:rFonts w:ascii="Aptos" w:hAnsi="Aptos"/>
                <w:sz w:val="16"/>
              </w:rPr>
              <w:t>Testing</w:t>
            </w:r>
          </w:p>
        </w:tc>
        <w:tc>
          <w:tcPr>
            <w:tcW w:type="dxa" w:w="2541"/>
            <w:vAlign w:val="center"/>
          </w:tcPr>
          <w:p>
            <w:pPr>
              <w:spacing w:after="30"/>
            </w:pPr>
            <w:r>
              <w:rPr>
                <w:rFonts w:ascii="Aptos" w:hAnsi="Aptos"/>
                <w:sz w:val="16"/>
              </w:rPr>
              <w:t>User acceptance testing and defect correction</w:t>
            </w:r>
          </w:p>
        </w:tc>
        <w:tc>
          <w:tcPr>
            <w:tcW w:type="dxa" w:w="2541"/>
            <w:vAlign w:val="center"/>
          </w:tcPr>
          <w:p>
            <w:pPr>
              <w:spacing w:after="30"/>
            </w:pPr>
            <w:r>
              <w:rPr>
                <w:rFonts w:ascii="Aptos" w:hAnsi="Aptos"/>
                <w:sz w:val="16"/>
              </w:rPr>
              <w:t>Testing participation</w:t>
            </w:r>
          </w:p>
        </w:tc>
        <w:tc>
          <w:tcPr>
            <w:tcW w:type="dxa" w:w="2541"/>
            <w:vAlign w:val="center"/>
          </w:tcPr>
          <w:p>
            <w:pPr>
              <w:spacing w:after="30"/>
            </w:pPr>
            <w:r>
              <w:rPr>
                <w:rFonts w:ascii="Aptos" w:hAnsi="Aptos"/>
                <w:sz w:val="16"/>
              </w:rPr>
              <w:t>UAT sign-off or deemed acceptance</w:t>
            </w:r>
          </w:p>
        </w:tc>
      </w:tr>
      <w:tr>
        <w:tc>
          <w:tcPr>
            <w:tcW w:type="dxa" w:w="2541"/>
            <w:vAlign w:val="center"/>
          </w:tcPr>
          <w:p>
            <w:pPr>
              <w:spacing w:after="30"/>
            </w:pPr>
            <w:r>
              <w:rPr>
                <w:rFonts w:ascii="Aptos" w:hAnsi="Aptos"/>
                <w:sz w:val="16"/>
              </w:rPr>
              <w:t>Training</w:t>
            </w:r>
          </w:p>
        </w:tc>
        <w:tc>
          <w:tcPr>
            <w:tcW w:type="dxa" w:w="2541"/>
            <w:vAlign w:val="center"/>
          </w:tcPr>
          <w:p>
            <w:pPr>
              <w:spacing w:after="30"/>
            </w:pPr>
            <w:r>
              <w:rPr>
                <w:rFonts w:ascii="Aptos" w:hAnsi="Aptos"/>
                <w:sz w:val="16"/>
              </w:rPr>
              <w:t>Administrator, management and employee training</w:t>
            </w:r>
          </w:p>
        </w:tc>
        <w:tc>
          <w:tcPr>
            <w:tcW w:type="dxa" w:w="2541"/>
            <w:vAlign w:val="center"/>
          </w:tcPr>
          <w:p>
            <w:pPr>
              <w:spacing w:after="30"/>
            </w:pPr>
            <w:r>
              <w:rPr>
                <w:rFonts w:ascii="Aptos" w:hAnsi="Aptos"/>
                <w:sz w:val="16"/>
              </w:rPr>
              <w:t>Attendance and availability</w:t>
            </w:r>
          </w:p>
        </w:tc>
        <w:tc>
          <w:tcPr>
            <w:tcW w:type="dxa" w:w="2541"/>
            <w:vAlign w:val="center"/>
          </w:tcPr>
          <w:p>
            <w:pPr>
              <w:spacing w:after="30"/>
            </w:pPr>
            <w:r>
              <w:rPr>
                <w:rFonts w:ascii="Aptos" w:hAnsi="Aptos"/>
                <w:sz w:val="16"/>
              </w:rPr>
              <w:t>Training completion record</w:t>
            </w:r>
          </w:p>
        </w:tc>
      </w:tr>
      <w:tr>
        <w:tc>
          <w:tcPr>
            <w:tcW w:type="dxa" w:w="2541"/>
            <w:vAlign w:val="center"/>
          </w:tcPr>
          <w:p>
            <w:pPr>
              <w:spacing w:after="30"/>
            </w:pPr>
            <w:r>
              <w:rPr>
                <w:rFonts w:ascii="Aptos" w:hAnsi="Aptos"/>
                <w:sz w:val="16"/>
              </w:rPr>
              <w:t>Go-live</w:t>
            </w:r>
          </w:p>
        </w:tc>
        <w:tc>
          <w:tcPr>
            <w:tcW w:type="dxa" w:w="2541"/>
            <w:vAlign w:val="center"/>
          </w:tcPr>
          <w:p>
            <w:pPr>
              <w:spacing w:after="30"/>
            </w:pPr>
            <w:r>
              <w:rPr>
                <w:rFonts w:ascii="Aptos" w:hAnsi="Aptos"/>
                <w:sz w:val="16"/>
              </w:rPr>
              <w:t>Production activation and initial stabilisation</w:t>
            </w:r>
          </w:p>
        </w:tc>
        <w:tc>
          <w:tcPr>
            <w:tcW w:type="dxa" w:w="2541"/>
            <w:vAlign w:val="center"/>
          </w:tcPr>
          <w:p>
            <w:pPr>
              <w:spacing w:after="30"/>
            </w:pPr>
            <w:r>
              <w:rPr>
                <w:rFonts w:ascii="Aptos" w:hAnsi="Aptos"/>
                <w:sz w:val="16"/>
              </w:rPr>
              <w:t>Adoption and internal enforcement</w:t>
            </w:r>
          </w:p>
        </w:tc>
        <w:tc>
          <w:tcPr>
            <w:tcW w:type="dxa" w:w="2541"/>
            <w:vAlign w:val="center"/>
          </w:tcPr>
          <w:p>
            <w:pPr>
              <w:spacing w:after="30"/>
            </w:pPr>
            <w:r>
              <w:rPr>
                <w:rFonts w:ascii="Aptos" w:hAnsi="Aptos"/>
                <w:sz w:val="16"/>
              </w:rPr>
              <w:t>Production use / go-live note</w:t>
            </w:r>
          </w:p>
        </w:tc>
      </w:tr>
      <w:tr>
        <w:tc>
          <w:tcPr>
            <w:tcW w:type="dxa" w:w="2541"/>
            <w:vAlign w:val="center"/>
          </w:tcPr>
          <w:p>
            <w:pPr>
              <w:spacing w:after="30"/>
            </w:pPr>
            <w:r>
              <w:rPr>
                <w:rFonts w:ascii="Aptos" w:hAnsi="Aptos"/>
                <w:sz w:val="16"/>
              </w:rPr>
              <w:t>Review</w:t>
            </w:r>
          </w:p>
        </w:tc>
        <w:tc>
          <w:tcPr>
            <w:tcW w:type="dxa" w:w="2541"/>
            <w:vAlign w:val="center"/>
          </w:tcPr>
          <w:p>
            <w:pPr>
              <w:spacing w:after="30"/>
            </w:pPr>
            <w:r>
              <w:rPr>
                <w:rFonts w:ascii="Aptos" w:hAnsi="Aptos"/>
                <w:sz w:val="16"/>
              </w:rPr>
              <w:t>Initial management review dashboard and implementation closure</w:t>
            </w:r>
          </w:p>
        </w:tc>
        <w:tc>
          <w:tcPr>
            <w:tcW w:type="dxa" w:w="2541"/>
            <w:vAlign w:val="center"/>
          </w:tcPr>
          <w:p>
            <w:pPr>
              <w:spacing w:after="30"/>
            </w:pPr>
            <w:r>
              <w:rPr>
                <w:rFonts w:ascii="Aptos" w:hAnsi="Aptos"/>
                <w:sz w:val="16"/>
              </w:rPr>
              <w:t>Management participation</w:t>
            </w:r>
          </w:p>
        </w:tc>
        <w:tc>
          <w:tcPr>
            <w:tcW w:type="dxa" w:w="2541"/>
            <w:vAlign w:val="center"/>
          </w:tcPr>
          <w:p>
            <w:pPr>
              <w:spacing w:after="30"/>
            </w:pPr>
            <w:r>
              <w:rPr>
                <w:rFonts w:ascii="Aptos" w:hAnsi="Aptos"/>
                <w:sz w:val="16"/>
              </w:rPr>
              <w:t>Closure report</w:t>
            </w:r>
          </w:p>
        </w:tc>
      </w:tr>
    </w:tbl>
    <w:p>
      <w:pPr>
        <w:pStyle w:val="Heading2"/>
      </w:pPr>
      <w:r>
        <w:t>3. Indicative Roadmap</w:t>
      </w:r>
    </w:p>
    <w:tbl>
      <w:tblPr>
        <w:tblStyle w:val="TableGrid"/>
        <w:tblW w:type="auto" w:w="0"/>
        <w:jc w:val="center"/>
        <w:tblLayout w:type="autofit"/>
        <w:tblLook w:firstColumn="1" w:firstRow="1" w:lastColumn="0" w:lastRow="0" w:noHBand="0" w:noVBand="1" w:val="04A0"/>
      </w:tblPr>
      <w:tblGrid>
        <w:gridCol w:w="2541"/>
        <w:gridCol w:w="2541"/>
        <w:gridCol w:w="2541"/>
        <w:gridCol w:w="2541"/>
      </w:tblGrid>
      <w:tr>
        <w:tc>
          <w:tcPr>
            <w:tcW w:type="dxa" w:w="2541"/>
            <w:shd w:fill="D85A1A"/>
            <w:vAlign w:val="center"/>
          </w:tcPr>
          <w:p>
            <w:pPr>
              <w:spacing w:after="30"/>
            </w:pPr>
            <w:r>
              <w:rPr>
                <w:rFonts w:ascii="Aptos" w:hAnsi="Aptos"/>
                <w:b/>
                <w:color w:val="FFFFFF"/>
                <w:sz w:val="16"/>
              </w:rPr>
              <w:t>Phase</w:t>
            </w:r>
          </w:p>
        </w:tc>
        <w:tc>
          <w:tcPr>
            <w:tcW w:type="dxa" w:w="2541"/>
            <w:shd w:fill="D85A1A"/>
            <w:vAlign w:val="center"/>
          </w:tcPr>
          <w:p>
            <w:pPr>
              <w:spacing w:after="30"/>
            </w:pPr>
            <w:r>
              <w:rPr>
                <w:rFonts w:ascii="Aptos" w:hAnsi="Aptos"/>
                <w:b/>
                <w:color w:val="FFFFFF"/>
                <w:sz w:val="16"/>
              </w:rPr>
              <w:t>Indicative Period</w:t>
            </w:r>
          </w:p>
        </w:tc>
        <w:tc>
          <w:tcPr>
            <w:tcW w:type="dxa" w:w="2541"/>
            <w:shd w:fill="D85A1A"/>
            <w:vAlign w:val="center"/>
          </w:tcPr>
          <w:p>
            <w:pPr>
              <w:spacing w:after="30"/>
            </w:pPr>
            <w:r>
              <w:rPr>
                <w:rFonts w:ascii="Aptos" w:hAnsi="Aptos"/>
                <w:b/>
                <w:color w:val="FFFFFF"/>
                <w:sz w:val="16"/>
              </w:rPr>
              <w:t>Activities</w:t>
            </w:r>
          </w:p>
        </w:tc>
        <w:tc>
          <w:tcPr>
            <w:tcW w:type="dxa" w:w="2541"/>
            <w:shd w:fill="D85A1A"/>
            <w:vAlign w:val="center"/>
          </w:tcPr>
          <w:p>
            <w:pPr>
              <w:spacing w:after="30"/>
            </w:pPr>
            <w:r>
              <w:rPr>
                <w:rFonts w:ascii="Aptos" w:hAnsi="Aptos"/>
                <w:b/>
                <w:color w:val="FFFFFF"/>
                <w:sz w:val="16"/>
              </w:rPr>
              <w:t>Dependency</w:t>
            </w:r>
          </w:p>
        </w:tc>
      </w:tr>
      <w:tr>
        <w:tc>
          <w:tcPr>
            <w:tcW w:type="dxa" w:w="2541"/>
            <w:vAlign w:val="center"/>
          </w:tcPr>
          <w:p>
            <w:pPr>
              <w:spacing w:after="30"/>
            </w:pPr>
            <w:r>
              <w:rPr>
                <w:rFonts w:ascii="Aptos" w:hAnsi="Aptos"/>
                <w:sz w:val="16"/>
              </w:rPr>
              <w:t>Discover</w:t>
            </w:r>
          </w:p>
        </w:tc>
        <w:tc>
          <w:tcPr>
            <w:tcW w:type="dxa" w:w="2541"/>
            <w:vAlign w:val="center"/>
          </w:tcPr>
          <w:p>
            <w:pPr>
              <w:spacing w:after="30"/>
            </w:pPr>
            <w:r>
              <w:rPr>
                <w:rFonts w:ascii="Aptos" w:hAnsi="Aptos"/>
                <w:sz w:val="16"/>
              </w:rPr>
              <w:t>Weeks 1–2</w:t>
            </w:r>
          </w:p>
        </w:tc>
        <w:tc>
          <w:tcPr>
            <w:tcW w:type="dxa" w:w="2541"/>
            <w:vAlign w:val="center"/>
          </w:tcPr>
          <w:p>
            <w:pPr>
              <w:spacing w:after="30"/>
            </w:pPr>
            <w:r>
              <w:rPr>
                <w:rFonts w:ascii="Aptos" w:hAnsi="Aptos"/>
                <w:sz w:val="16"/>
              </w:rPr>
              <w:t>Interviews, audit, process selection</w:t>
            </w:r>
          </w:p>
        </w:tc>
        <w:tc>
          <w:tcPr>
            <w:tcW w:type="dxa" w:w="2541"/>
            <w:vAlign w:val="center"/>
          </w:tcPr>
          <w:p>
            <w:pPr>
              <w:spacing w:after="30"/>
            </w:pPr>
            <w:r>
              <w:rPr>
                <w:rFonts w:ascii="Aptos" w:hAnsi="Aptos"/>
                <w:sz w:val="16"/>
              </w:rPr>
              <w:t>Information and coordinator</w:t>
            </w:r>
          </w:p>
        </w:tc>
      </w:tr>
      <w:tr>
        <w:tc>
          <w:tcPr>
            <w:tcW w:type="dxa" w:w="2541"/>
            <w:vAlign w:val="center"/>
          </w:tcPr>
          <w:p>
            <w:pPr>
              <w:spacing w:after="30"/>
            </w:pPr>
            <w:r>
              <w:rPr>
                <w:rFonts w:ascii="Aptos" w:hAnsi="Aptos"/>
                <w:sz w:val="16"/>
              </w:rPr>
              <w:t>Design</w:t>
            </w:r>
          </w:p>
        </w:tc>
        <w:tc>
          <w:tcPr>
            <w:tcW w:type="dxa" w:w="2541"/>
            <w:vAlign w:val="center"/>
          </w:tcPr>
          <w:p>
            <w:pPr>
              <w:spacing w:after="30"/>
            </w:pPr>
            <w:r>
              <w:rPr>
                <w:rFonts w:ascii="Aptos" w:hAnsi="Aptos"/>
                <w:sz w:val="16"/>
              </w:rPr>
              <w:t>Weeks 2–4</w:t>
            </w:r>
          </w:p>
        </w:tc>
        <w:tc>
          <w:tcPr>
            <w:tcW w:type="dxa" w:w="2541"/>
            <w:vAlign w:val="center"/>
          </w:tcPr>
          <w:p>
            <w:pPr>
              <w:spacing w:after="30"/>
            </w:pPr>
            <w:r>
              <w:rPr>
                <w:rFonts w:ascii="Aptos" w:hAnsi="Aptos"/>
                <w:sz w:val="16"/>
              </w:rPr>
              <w:t>Maps, roles, timelines, checklists, escalation</w:t>
            </w:r>
          </w:p>
        </w:tc>
        <w:tc>
          <w:tcPr>
            <w:tcW w:type="dxa" w:w="2541"/>
            <w:vAlign w:val="center"/>
          </w:tcPr>
          <w:p>
            <w:pPr>
              <w:spacing w:after="30"/>
            </w:pPr>
            <w:r>
              <w:rPr>
                <w:rFonts w:ascii="Aptos" w:hAnsi="Aptos"/>
                <w:sz w:val="16"/>
              </w:rPr>
              <w:t>Approvals</w:t>
            </w:r>
          </w:p>
        </w:tc>
      </w:tr>
      <w:tr>
        <w:tc>
          <w:tcPr>
            <w:tcW w:type="dxa" w:w="2541"/>
            <w:vAlign w:val="center"/>
          </w:tcPr>
          <w:p>
            <w:pPr>
              <w:spacing w:after="30"/>
            </w:pPr>
            <w:r>
              <w:rPr>
                <w:rFonts w:ascii="Aptos" w:hAnsi="Aptos"/>
                <w:sz w:val="16"/>
              </w:rPr>
              <w:t>Configure</w:t>
            </w:r>
          </w:p>
        </w:tc>
        <w:tc>
          <w:tcPr>
            <w:tcW w:type="dxa" w:w="2541"/>
            <w:vAlign w:val="center"/>
          </w:tcPr>
          <w:p>
            <w:pPr>
              <w:spacing w:after="30"/>
            </w:pPr>
            <w:r>
              <w:rPr>
                <w:rFonts w:ascii="Aptos" w:hAnsi="Aptos"/>
                <w:sz w:val="16"/>
              </w:rPr>
              <w:t>Weeks 4–6</w:t>
            </w:r>
          </w:p>
        </w:tc>
        <w:tc>
          <w:tcPr>
            <w:tcW w:type="dxa" w:w="2541"/>
            <w:vAlign w:val="center"/>
          </w:tcPr>
          <w:p>
            <w:pPr>
              <w:spacing w:after="30"/>
            </w:pPr>
            <w:r>
              <w:rPr>
                <w:rFonts w:ascii="Aptos" w:hAnsi="Aptos"/>
                <w:sz w:val="16"/>
              </w:rPr>
              <w:t>Setup, access, workflows, integrations, testing</w:t>
            </w:r>
          </w:p>
        </w:tc>
        <w:tc>
          <w:tcPr>
            <w:tcW w:type="dxa" w:w="2541"/>
            <w:vAlign w:val="center"/>
          </w:tcPr>
          <w:p>
            <w:pPr>
              <w:spacing w:after="30"/>
            </w:pPr>
            <w:r>
              <w:rPr>
                <w:rFonts w:ascii="Aptos" w:hAnsi="Aptos"/>
                <w:sz w:val="16"/>
              </w:rPr>
              <w:t>Data and credentials</w:t>
            </w:r>
          </w:p>
        </w:tc>
      </w:tr>
      <w:tr>
        <w:tc>
          <w:tcPr>
            <w:tcW w:type="dxa" w:w="2541"/>
            <w:vAlign w:val="center"/>
          </w:tcPr>
          <w:p>
            <w:pPr>
              <w:spacing w:after="30"/>
            </w:pPr>
            <w:r>
              <w:rPr>
                <w:rFonts w:ascii="Aptos" w:hAnsi="Aptos"/>
                <w:sz w:val="16"/>
              </w:rPr>
              <w:t>Go Live</w:t>
            </w:r>
          </w:p>
        </w:tc>
        <w:tc>
          <w:tcPr>
            <w:tcW w:type="dxa" w:w="2541"/>
            <w:vAlign w:val="center"/>
          </w:tcPr>
          <w:p>
            <w:pPr>
              <w:spacing w:after="30"/>
            </w:pPr>
            <w:r>
              <w:rPr>
                <w:rFonts w:ascii="Aptos" w:hAnsi="Aptos"/>
                <w:sz w:val="16"/>
              </w:rPr>
              <w:t>Weeks 6–8</w:t>
            </w:r>
          </w:p>
        </w:tc>
        <w:tc>
          <w:tcPr>
            <w:tcW w:type="dxa" w:w="2541"/>
            <w:vAlign w:val="center"/>
          </w:tcPr>
          <w:p>
            <w:pPr>
              <w:spacing w:after="30"/>
            </w:pPr>
            <w:r>
              <w:rPr>
                <w:rFonts w:ascii="Aptos" w:hAnsi="Aptos"/>
                <w:sz w:val="16"/>
              </w:rPr>
              <w:t>Training, adoption, live MIS, corrections</w:t>
            </w:r>
          </w:p>
        </w:tc>
        <w:tc>
          <w:tcPr>
            <w:tcW w:type="dxa" w:w="2541"/>
            <w:vAlign w:val="center"/>
          </w:tcPr>
          <w:p>
            <w:pPr>
              <w:spacing w:after="30"/>
            </w:pPr>
            <w:r>
              <w:rPr>
                <w:rFonts w:ascii="Aptos" w:hAnsi="Aptos"/>
                <w:sz w:val="16"/>
              </w:rPr>
              <w:t>User participation</w:t>
            </w:r>
          </w:p>
        </w:tc>
      </w:tr>
    </w:tbl>
    <w:p>
      <w:pPr>
        <w:pStyle w:val="Clause"/>
        <w:keepLines/>
      </w:pPr>
      <w:r>
        <w:t>The target is [4–8 weeks / 60 days] from project commencement. This is an estimate, not a fixed guarantee, and depends on timely information, approvals, data, credentials, Third-Party Services and Client cooperation.</w:t>
      </w:r>
    </w:p>
    <w:p>
      <w:pPr>
        <w:pStyle w:val="Heading2"/>
      </w:pPr>
      <w:r>
        <w:t>4. Client Responsibilities</w:t>
      </w:r>
    </w:p>
    <w:p>
      <w:pPr>
        <w:pStyle w:val="ListBullet"/>
        <w:spacing w:after="40"/>
      </w:pPr>
      <w:r>
        <w:t>Appoint one authorised implementation coordinator and backup.</w:t>
      </w:r>
    </w:p>
    <w:p>
      <w:pPr>
        <w:pStyle w:val="ListBullet"/>
        <w:spacing w:after="40"/>
      </w:pPr>
      <w:r>
        <w:t>Provide accurate employee, department, client, role, workflow and historical information in agreed formats.</w:t>
      </w:r>
    </w:p>
    <w:p>
      <w:pPr>
        <w:pStyle w:val="ListBullet"/>
        <w:spacing w:after="40"/>
      </w:pPr>
      <w:r>
        <w:t>Obtain all employee, client and third-party notices, permissions and legal authority.</w:t>
      </w:r>
    </w:p>
    <w:p>
      <w:pPr>
        <w:pStyle w:val="ListBullet"/>
        <w:spacing w:after="40"/>
      </w:pPr>
      <w:r>
        <w:t>Review and approve process designs and configurations promptly.</w:t>
      </w:r>
    </w:p>
    <w:p>
      <w:pPr>
        <w:pStyle w:val="ListBullet"/>
        <w:spacing w:after="40"/>
      </w:pPr>
      <w:r>
        <w:t>Provide test users and complete UAT within the acceptance period.</w:t>
      </w:r>
    </w:p>
    <w:p>
      <w:pPr>
        <w:pStyle w:val="ListBullet"/>
        <w:spacing w:after="40"/>
      </w:pPr>
      <w:r>
        <w:t>Arrange employee attendance at training and enforce adoption.</w:t>
      </w:r>
    </w:p>
    <w:p>
      <w:pPr>
        <w:pStyle w:val="ListBullet"/>
        <w:spacing w:after="40"/>
      </w:pPr>
      <w:r>
        <w:t>Maintain Tally, statutory and source-data backups.</w:t>
      </w:r>
    </w:p>
    <w:p>
      <w:pPr>
        <w:pStyle w:val="ListBullet"/>
        <w:spacing w:after="40"/>
      </w:pPr>
      <w:r>
        <w:t>Provide valid Third-Party Service accounts and credentials where integrations are requested.</w:t>
      </w:r>
    </w:p>
    <w:p>
      <w:pPr>
        <w:pStyle w:val="Heading2"/>
      </w:pPr>
      <w:r>
        <w:t>5. Exclusions</w:t>
      </w:r>
    </w:p>
    <w:p>
      <w:pPr>
        <w:pStyle w:val="ListBullet"/>
        <w:spacing w:after="40"/>
      </w:pPr>
      <w:r>
        <w:t>Source-code delivery or ownership transfer.</w:t>
      </w:r>
    </w:p>
    <w:p>
      <w:pPr>
        <w:pStyle w:val="ListBullet"/>
        <w:spacing w:after="40"/>
      </w:pPr>
      <w:r>
        <w:t>Unlimited custom development, migration or process consulting.</w:t>
      </w:r>
    </w:p>
    <w:p>
      <w:pPr>
        <w:pStyle w:val="ListBullet"/>
        <w:spacing w:after="40"/>
      </w:pPr>
      <w:r>
        <w:t>Legal, tax, audit, registered valuation or statutory certification.</w:t>
      </w:r>
    </w:p>
    <w:p>
      <w:pPr>
        <w:pStyle w:val="ListBullet"/>
        <w:spacing w:after="40"/>
      </w:pPr>
      <w:r>
        <w:t>Third-party subscriptions, carrier, WhatsApp, video, AI, API and cloud consumption charges unless expressly included.</w:t>
      </w:r>
    </w:p>
    <w:p>
      <w:pPr>
        <w:pStyle w:val="ListBullet"/>
        <w:spacing w:after="40"/>
      </w:pPr>
      <w:r>
        <w:t>Correction of inaccurate or corrupted source data.</w:t>
      </w:r>
    </w:p>
    <w:p>
      <w:pPr>
        <w:pStyle w:val="ListBullet"/>
        <w:spacing w:after="40"/>
      </w:pPr>
      <w:r>
        <w:t>Hardware, networking, biometric devices or on-premise infrastructure unless separately quoted.</w:t>
      </w:r>
    </w:p>
    <w:p>
      <w:pPr>
        <w:pStyle w:val="ListBullet"/>
        <w:spacing w:after="40"/>
      </w:pPr>
      <w:r>
        <w:t>Services for entities, users, modules or templates beyond the Order Form.</w:t>
      </w:r>
    </w:p>
    <w:p>
      <w:pPr>
        <w:pStyle w:val="Heading2"/>
      </w:pPr>
      <w:r>
        <w:t>6. Acceptance Criteria</w:t>
      </w:r>
    </w:p>
    <w:p>
      <w:pPr>
        <w:pStyle w:val="Clause"/>
        <w:keepLines/>
      </w:pPr>
      <w:r>
        <w:t>A deliverable meets acceptance criteria where it materially performs the agreed function in the configured environment, permits authorised access, and has no Severity 1 defect preventing intended use. Cosmetic issues and minor defects do not delay acceptance. The acceptance process in Clause 5 applies.</w:t>
      </w:r>
    </w:p>
    <w:p>
      <w:pPr>
        <w:pStyle w:val="Heading2"/>
      </w:pPr>
      <w:r>
        <w:t>7. Change Control</w:t>
      </w:r>
    </w:p>
    <w:p>
      <w:pPr>
        <w:pStyle w:val="Clause"/>
        <w:keepLines/>
      </w:pPr>
      <w:r>
        <w:t>A change request shall state: request description; reason; affected deliverables; additional Fees; timeline impact; dependencies; and acceptance criteria. Email approval by the authorised commercial representatives named below is sufficient unless the change materially modifies liability, data processing or intellectual-property rights, in which case a signed amendment is required.</w:t>
      </w:r>
    </w:p>
    <w:p>
      <w:pPr>
        <w:pStyle w:val="Heading2"/>
      </w:pPr>
      <w:r>
        <w:t>8. Project Contacts</w:t>
      </w:r>
    </w:p>
    <w:tbl>
      <w:tblPr>
        <w:tblStyle w:val="TableGrid"/>
        <w:tblW w:type="auto" w:w="0"/>
        <w:tblLayout w:type="autofit"/>
        <w:tblLook w:firstColumn="1" w:firstRow="1" w:lastColumn="0" w:lastRow="0" w:noHBand="0" w:noVBand="1" w:val="04A0"/>
      </w:tblPr>
      <w:tblGrid>
        <w:gridCol w:w="2541"/>
        <w:gridCol w:w="2541"/>
        <w:gridCol w:w="2541"/>
        <w:gridCol w:w="2541"/>
      </w:tblGrid>
      <w:tr>
        <w:tc>
          <w:tcPr>
            <w:tcW w:type="dxa" w:w="2541"/>
            <w:shd w:fill="0B1F33"/>
            <w:vAlign w:val="center"/>
          </w:tcPr>
          <w:p>
            <w:pPr>
              <w:spacing w:after="30"/>
            </w:pPr>
            <w:r>
              <w:rPr>
                <w:rFonts w:ascii="Aptos" w:hAnsi="Aptos"/>
                <w:color w:val="FFFFFF"/>
                <w:sz w:val="16"/>
              </w:rPr>
              <w:t>Role</w:t>
            </w:r>
          </w:p>
        </w:tc>
        <w:tc>
          <w:tcPr>
            <w:tcW w:type="dxa" w:w="2541"/>
            <w:shd w:fill="0B1F33"/>
            <w:vAlign w:val="center"/>
          </w:tcPr>
          <w:p>
            <w:pPr>
              <w:spacing w:after="30"/>
            </w:pPr>
            <w:r>
              <w:rPr>
                <w:rFonts w:ascii="Aptos" w:hAnsi="Aptos"/>
                <w:color w:val="FFFFFF"/>
                <w:sz w:val="16"/>
              </w:rPr>
              <w:t>Finwell</w:t>
            </w:r>
          </w:p>
        </w:tc>
        <w:tc>
          <w:tcPr>
            <w:tcW w:type="dxa" w:w="2541"/>
            <w:shd w:fill="0B1F33"/>
            <w:vAlign w:val="center"/>
          </w:tcPr>
          <w:p>
            <w:pPr>
              <w:spacing w:after="30"/>
            </w:pPr>
            <w:r>
              <w:rPr>
                <w:rFonts w:ascii="Aptos" w:hAnsi="Aptos"/>
                <w:color w:val="FFFFFF"/>
                <w:sz w:val="16"/>
              </w:rPr>
              <w:t>Client</w:t>
            </w:r>
          </w:p>
        </w:tc>
        <w:tc>
          <w:tcPr>
            <w:tcW w:type="dxa" w:w="2541"/>
            <w:shd w:fill="0B1F33"/>
            <w:vAlign w:val="center"/>
          </w:tcPr>
          <w:p>
            <w:pPr>
              <w:spacing w:after="30"/>
            </w:pPr>
            <w:r>
              <w:rPr>
                <w:rFonts w:ascii="Aptos" w:hAnsi="Aptos"/>
                <w:color w:val="FFFFFF"/>
                <w:sz w:val="16"/>
              </w:rPr>
              <w:t>Authority</w:t>
            </w:r>
          </w:p>
        </w:tc>
      </w:tr>
      <w:tr>
        <w:tc>
          <w:tcPr>
            <w:tcW w:type="dxa" w:w="2541"/>
            <w:vAlign w:val="center"/>
          </w:tcPr>
          <w:p>
            <w:pPr>
              <w:spacing w:after="30"/>
            </w:pPr>
            <w:r>
              <w:rPr>
                <w:rFonts w:ascii="Aptos" w:hAnsi="Aptos"/>
                <w:sz w:val="16"/>
              </w:rPr>
              <w:t>Commercial lead</w:t>
            </w:r>
          </w:p>
        </w:tc>
        <w:tc>
          <w:tcPr>
            <w:tcW w:type="dxa" w:w="2541"/>
            <w:vAlign w:val="center"/>
          </w:tcPr>
          <w:p>
            <w:r/>
          </w:p>
        </w:tc>
        <w:tc>
          <w:tcPr>
            <w:tcW w:type="dxa" w:w="2541"/>
            <w:vAlign w:val="center"/>
          </w:tcPr>
          <w:p>
            <w:r/>
          </w:p>
        </w:tc>
        <w:tc>
          <w:tcPr>
            <w:tcW w:type="dxa" w:w="2541"/>
            <w:vAlign w:val="center"/>
          </w:tcPr>
          <w:p>
            <w:pPr>
              <w:spacing w:after="30"/>
            </w:pPr>
            <w:r>
              <w:rPr>
                <w:rFonts w:ascii="Aptos" w:hAnsi="Aptos"/>
                <w:sz w:val="16"/>
              </w:rPr>
              <w:t>Fees/change approval</w:t>
            </w:r>
          </w:p>
        </w:tc>
      </w:tr>
      <w:tr>
        <w:tc>
          <w:tcPr>
            <w:tcW w:type="dxa" w:w="2541"/>
            <w:vAlign w:val="center"/>
          </w:tcPr>
          <w:p>
            <w:pPr>
              <w:spacing w:after="30"/>
            </w:pPr>
            <w:r>
              <w:rPr>
                <w:rFonts w:ascii="Aptos" w:hAnsi="Aptos"/>
                <w:sz w:val="16"/>
              </w:rPr>
              <w:t>Project lead</w:t>
            </w:r>
          </w:p>
        </w:tc>
        <w:tc>
          <w:tcPr>
            <w:tcW w:type="dxa" w:w="2541"/>
            <w:vAlign w:val="center"/>
          </w:tcPr>
          <w:p>
            <w:r>
              <w:t>Bizzomation Software</w:t>
            </w:r>
          </w:p>
        </w:tc>
        <w:tc>
          <w:tcPr>
            <w:tcW w:type="dxa" w:w="2541"/>
            <w:vAlign w:val="center"/>
          </w:tcPr>
          <w:p>
            <w:r>
              <w:t>Software</w:t>
            </w:r>
          </w:p>
        </w:tc>
        <w:tc>
          <w:tcPr>
            <w:tcW w:type="dxa" w:w="2541"/>
            <w:vAlign w:val="center"/>
          </w:tcPr>
          <w:p>
            <w:pPr>
              <w:spacing w:after="30"/>
            </w:pPr>
            <w:r>
              <w:rPr>
                <w:rFonts w:ascii="Aptos" w:hAnsi="Aptos"/>
                <w:sz w:val="16"/>
              </w:rPr>
              <w:t>Scope and delivery</w:t>
            </w:r>
          </w:p>
        </w:tc>
      </w:tr>
      <w:tr>
        <w:tc>
          <w:tcPr>
            <w:tcW w:type="dxa" w:w="2541"/>
            <w:vAlign w:val="center"/>
          </w:tcPr>
          <w:p>
            <w:pPr>
              <w:spacing w:after="30"/>
            </w:pPr>
            <w:r>
              <w:rPr>
                <w:rFonts w:ascii="Aptos" w:hAnsi="Aptos"/>
                <w:sz w:val="16"/>
              </w:rPr>
              <w:t>Security/privacy</w:t>
            </w:r>
          </w:p>
        </w:tc>
        <w:tc>
          <w:tcPr>
            <w:tcW w:type="dxa" w:w="2541"/>
            <w:vAlign w:val="center"/>
          </w:tcPr>
          <w:p>
            <w:r>
              <w:t>9196288138</w:t>
            </w:r>
          </w:p>
        </w:tc>
        <w:tc>
          <w:tcPr>
            <w:tcW w:type="dxa" w:w="2541"/>
            <w:vAlign w:val="center"/>
          </w:tcPr>
          <w:p>
            <w:r>
              <w:t>+91 70309 51925</w:t>
            </w:r>
          </w:p>
        </w:tc>
        <w:tc>
          <w:tcPr>
            <w:tcW w:type="dxa" w:w="2541"/>
            <w:vAlign w:val="center"/>
          </w:tcPr>
          <w:p>
            <w:pPr>
              <w:spacing w:after="30"/>
            </w:pPr>
            <w:r>
              <w:rPr>
                <w:rFonts w:ascii="Aptos" w:hAnsi="Aptos"/>
                <w:sz w:val="16"/>
              </w:rPr>
              <w:t>Incident and DPA</w:t>
            </w:r>
          </w:p>
        </w:tc>
      </w:tr>
      <w:tr>
        <w:tc>
          <w:tcPr>
            <w:tcW w:type="dxa" w:w="2541"/>
            <w:vAlign w:val="center"/>
          </w:tcPr>
          <w:p>
            <w:pPr>
              <w:spacing w:after="30"/>
            </w:pPr>
            <w:r>
              <w:rPr>
                <w:rFonts w:ascii="Aptos" w:hAnsi="Aptos"/>
                <w:sz w:val="16"/>
              </w:rPr>
              <w:t>Technical contact</w:t>
            </w:r>
          </w:p>
        </w:tc>
        <w:tc>
          <w:tcPr>
            <w:tcW w:type="dxa" w:w="2541"/>
            <w:vAlign w:val="center"/>
          </w:tcPr>
          <w:p>
            <w:r>
              <w:t>info@finwellgrowth.com</w:t>
            </w:r>
          </w:p>
        </w:tc>
        <w:tc>
          <w:tcPr>
            <w:tcW w:type="dxa" w:w="2541"/>
            <w:vAlign w:val="center"/>
          </w:tcPr>
          <w:p>
            <w:r/>
          </w:p>
        </w:tc>
        <w:tc>
          <w:tcPr>
            <w:tcW w:type="dxa" w:w="2541"/>
            <w:vAlign w:val="center"/>
          </w:tcPr>
          <w:p>
            <w:pPr>
              <w:spacing w:after="30"/>
            </w:pPr>
            <w:r>
              <w:rPr>
                <w:rFonts w:ascii="Aptos" w:hAnsi="Aptos"/>
                <w:sz w:val="16"/>
              </w:rPr>
              <w:t>Integration and access</w:t>
            </w:r>
          </w:p>
        </w:tc>
      </w:tr>
    </w:tbl>
    <w:p>
      <w:r>
        <w:br w:type="page"/>
      </w:r>
    </w:p>
    <w:tbl>
      <w:tblPr>
        <w:tblW w:type="auto" w:w="0"/>
        <w:jc w:val="center"/>
        <w:tblLayout w:type="autofit"/>
        <w:tblLook w:firstColumn="1" w:firstRow="1" w:lastColumn="0" w:lastRow="0" w:noHBand="0" w:noVBand="1" w:val="04A0"/>
      </w:tblPr>
      <w:tblGrid>
        <w:gridCol w:w="10166"/>
      </w:tblGrid>
      <w:tr>
        <w:tc>
          <w:tcPr>
            <w:tcW w:type="dxa" w:w="10166"/>
            <w:shd w:fill="0B1F33"/>
            <w:tcMar>
              <w:top w:w="300" w:type="dxa"/>
              <w:start w:w="300" w:type="dxa"/>
              <w:bottom w:w="300" w:type="dxa"/>
              <w:end w:w="300" w:type="dxa"/>
            </w:tcMar>
            <w:vAlign w:val="center"/>
          </w:tcPr>
          <w:p>
            <w:pPr>
              <w:spacing w:after="30"/>
              <w:jc w:val="center"/>
            </w:pPr>
            <w:r>
              <w:rPr>
                <w:rFonts w:ascii="Aptos" w:hAnsi="Aptos"/>
                <w:b/>
                <w:color w:val="FFFFFF"/>
                <w:sz w:val="16"/>
              </w:rPr>
              <w:t>SCHEDULE 3</w:t>
              <w:br/>
              <w:t>DATA PROCESSING ADDENDUM</w:t>
            </w:r>
          </w:p>
          <w:p>
            <w:pPr>
              <w:spacing w:after="30"/>
              <w:jc w:val="center"/>
            </w:pPr>
            <w:r>
              <w:rPr>
                <w:rFonts w:ascii="Aptos" w:hAnsi="Aptos"/>
                <w:color w:val="FED7AA"/>
                <w:sz w:val="16"/>
              </w:rPr>
              <w:t>Customer Data, Personal Data and privacy compliance.</w:t>
            </w:r>
          </w:p>
        </w:tc>
      </w:tr>
    </w:tbl>
    <w:p>
      <w:pPr>
        <w:pStyle w:val="Heading2"/>
      </w:pPr>
      <w:r>
        <w:t>1. Roles and Instructions</w:t>
      </w:r>
    </w:p>
    <w:p>
      <w:pPr>
        <w:pStyle w:val="Clause"/>
        <w:keepLines/>
      </w:pPr>
      <w:r>
        <w:t>For Personal Data processed to provide the Services, the Client is the Data Fiduciary/controller and Finwell is the Data Processor, unless applicable law determines otherwise. This Schedule constitutes documented instructions to process Personal Data only to provide, secure, support and administer the Services, comply with lawful requests, and perform the Agreement.</w:t>
      </w:r>
    </w:p>
    <w:p>
      <w:pPr>
        <w:pStyle w:val="Heading2"/>
      </w:pPr>
      <w:r>
        <w:t>2. Processing Details</w:t>
      </w:r>
    </w:p>
    <w:tbl>
      <w:tblPr>
        <w:tblStyle w:val="TableGrid"/>
        <w:tblW w:type="auto" w:w="0"/>
        <w:tblLayout w:type="autofit"/>
        <w:tblLook w:firstColumn="1" w:firstRow="1" w:lastColumn="0" w:lastRow="0" w:noHBand="0" w:noVBand="1" w:val="04A0"/>
      </w:tblPr>
      <w:tblGrid>
        <w:gridCol w:w="5083"/>
        <w:gridCol w:w="5083"/>
      </w:tblGrid>
      <w:tr>
        <w:tc>
          <w:tcPr>
            <w:tcW w:type="dxa" w:w="5083"/>
            <w:shd w:fill="F1F5F9"/>
            <w:vAlign w:val="center"/>
          </w:tcPr>
          <w:p>
            <w:pPr>
              <w:spacing w:after="30"/>
            </w:pPr>
            <w:r>
              <w:rPr>
                <w:rFonts w:ascii="Aptos" w:hAnsi="Aptos"/>
                <w:b/>
                <w:sz w:val="16"/>
              </w:rPr>
              <w:t>Subject matter</w:t>
            </w:r>
          </w:p>
        </w:tc>
        <w:tc>
          <w:tcPr>
            <w:tcW w:type="dxa" w:w="5083"/>
            <w:vAlign w:val="center"/>
          </w:tcPr>
          <w:p>
            <w:pPr>
              <w:spacing w:after="30"/>
            </w:pPr>
            <w:r>
              <w:rPr>
                <w:rFonts w:ascii="Aptos" w:hAnsi="Aptos"/>
                <w:sz w:val="16"/>
              </w:rPr>
              <w:t>Hosting and operation of Bizzomation, workflow and task management, HR/attendance, client portals, MIS, support, integration and related Professional Services.</w:t>
            </w:r>
          </w:p>
        </w:tc>
      </w:tr>
      <w:tr>
        <w:tc>
          <w:tcPr>
            <w:tcW w:type="dxa" w:w="5083"/>
            <w:shd w:fill="F1F5F9"/>
            <w:vAlign w:val="center"/>
          </w:tcPr>
          <w:p>
            <w:pPr>
              <w:spacing w:after="30"/>
            </w:pPr>
            <w:r>
              <w:rPr>
                <w:rFonts w:ascii="Aptos" w:hAnsi="Aptos"/>
                <w:b/>
                <w:sz w:val="16"/>
              </w:rPr>
              <w:t>Duration</w:t>
            </w:r>
          </w:p>
        </w:tc>
        <w:tc>
          <w:tcPr>
            <w:tcW w:type="dxa" w:w="5083"/>
            <w:vAlign w:val="center"/>
          </w:tcPr>
          <w:p>
            <w:pPr>
              <w:spacing w:after="30"/>
            </w:pPr>
            <w:r>
              <w:rPr>
                <w:rFonts w:ascii="Aptos" w:hAnsi="Aptos"/>
                <w:sz w:val="16"/>
              </w:rPr>
              <w:t>Subscription Term plus agreed return/deletion period and lawful retention.</w:t>
            </w:r>
          </w:p>
        </w:tc>
      </w:tr>
      <w:tr>
        <w:tc>
          <w:tcPr>
            <w:tcW w:type="dxa" w:w="5083"/>
            <w:shd w:fill="F1F5F9"/>
            <w:vAlign w:val="center"/>
          </w:tcPr>
          <w:p>
            <w:pPr>
              <w:spacing w:after="30"/>
            </w:pPr>
            <w:r>
              <w:rPr>
                <w:rFonts w:ascii="Aptos" w:hAnsi="Aptos"/>
                <w:b/>
                <w:sz w:val="16"/>
              </w:rPr>
              <w:t>Nature of processing</w:t>
            </w:r>
          </w:p>
        </w:tc>
        <w:tc>
          <w:tcPr>
            <w:tcW w:type="dxa" w:w="5083"/>
            <w:vAlign w:val="center"/>
          </w:tcPr>
          <w:p>
            <w:pPr>
              <w:spacing w:after="30"/>
            </w:pPr>
            <w:r>
              <w:rPr>
                <w:rFonts w:ascii="Aptos" w:hAnsi="Aptos"/>
                <w:sz w:val="16"/>
              </w:rPr>
              <w:t>Collection, recording, organisation, structuring, storage, adaptation, retrieval, consultation, use, transmission, alignment, analysis, backup, restriction, return and deletion.</w:t>
            </w:r>
          </w:p>
        </w:tc>
      </w:tr>
      <w:tr>
        <w:tc>
          <w:tcPr>
            <w:tcW w:type="dxa" w:w="5083"/>
            <w:shd w:fill="F1F5F9"/>
            <w:vAlign w:val="center"/>
          </w:tcPr>
          <w:p>
            <w:pPr>
              <w:spacing w:after="30"/>
            </w:pPr>
            <w:r>
              <w:rPr>
                <w:rFonts w:ascii="Aptos" w:hAnsi="Aptos"/>
                <w:b/>
                <w:sz w:val="16"/>
              </w:rPr>
              <w:t>Data subjects</w:t>
            </w:r>
          </w:p>
        </w:tc>
        <w:tc>
          <w:tcPr>
            <w:tcW w:type="dxa" w:w="5083"/>
            <w:vAlign w:val="center"/>
          </w:tcPr>
          <w:p>
            <w:pPr>
              <w:spacing w:after="30"/>
            </w:pPr>
            <w:r>
              <w:rPr>
                <w:rFonts w:ascii="Aptos" w:hAnsi="Aptos"/>
                <w:sz w:val="16"/>
              </w:rPr>
              <w:t>Client employees, workers, directors, customers, vendors, visitors, applicants, advisers, portal users and other persons whose data is submitted.</w:t>
            </w:r>
          </w:p>
        </w:tc>
      </w:tr>
      <w:tr>
        <w:tc>
          <w:tcPr>
            <w:tcW w:type="dxa" w:w="5083"/>
            <w:shd w:fill="F1F5F9"/>
            <w:vAlign w:val="center"/>
          </w:tcPr>
          <w:p>
            <w:pPr>
              <w:spacing w:after="30"/>
            </w:pPr>
            <w:r>
              <w:rPr>
                <w:rFonts w:ascii="Aptos" w:hAnsi="Aptos"/>
                <w:b/>
                <w:sz w:val="16"/>
              </w:rPr>
              <w:t>Data categories</w:t>
            </w:r>
          </w:p>
        </w:tc>
        <w:tc>
          <w:tcPr>
            <w:tcW w:type="dxa" w:w="5083"/>
            <w:vAlign w:val="center"/>
          </w:tcPr>
          <w:p>
            <w:pPr>
              <w:spacing w:after="30"/>
            </w:pPr>
            <w:r>
              <w:rPr>
                <w:rFonts w:ascii="Aptos" w:hAnsi="Aptos"/>
                <w:sz w:val="16"/>
              </w:rPr>
              <w:t>Identity/contact, employment, attendance, leave, payroll-related, reimbursement, grievance, workflow, performance, communication, visitor, client, financial, tax, account, support, device, log and other data configured by Client.</w:t>
            </w:r>
          </w:p>
        </w:tc>
      </w:tr>
      <w:tr>
        <w:tc>
          <w:tcPr>
            <w:tcW w:type="dxa" w:w="5083"/>
            <w:shd w:fill="F1F5F9"/>
            <w:vAlign w:val="center"/>
          </w:tcPr>
          <w:p>
            <w:pPr>
              <w:spacing w:after="30"/>
            </w:pPr>
            <w:r>
              <w:rPr>
                <w:rFonts w:ascii="Aptos" w:hAnsi="Aptos"/>
                <w:b/>
                <w:sz w:val="16"/>
              </w:rPr>
              <w:t>Sensitive/high-risk data</w:t>
            </w:r>
          </w:p>
        </w:tc>
        <w:tc>
          <w:tcPr>
            <w:tcW w:type="dxa" w:w="5083"/>
            <w:vAlign w:val="center"/>
          </w:tcPr>
          <w:p>
            <w:pPr>
              <w:spacing w:after="30"/>
            </w:pPr>
            <w:r>
              <w:rPr>
                <w:rFonts w:ascii="Aptos" w:hAnsi="Aptos"/>
                <w:sz w:val="16"/>
              </w:rPr>
              <w:t>Only where expressly required and lawfully authorised. Client shall avoid unnecessary uploads and use access controls.</w:t>
            </w:r>
          </w:p>
        </w:tc>
      </w:tr>
      <w:tr>
        <w:tc>
          <w:tcPr>
            <w:tcW w:type="dxa" w:w="5083"/>
            <w:shd w:fill="F1F5F9"/>
            <w:vAlign w:val="center"/>
          </w:tcPr>
          <w:p>
            <w:pPr>
              <w:spacing w:after="30"/>
            </w:pPr>
            <w:r>
              <w:rPr>
                <w:rFonts w:ascii="Aptos" w:hAnsi="Aptos"/>
                <w:b/>
                <w:sz w:val="16"/>
              </w:rPr>
              <w:t>Frequency</w:t>
            </w:r>
          </w:p>
        </w:tc>
        <w:tc>
          <w:tcPr>
            <w:tcW w:type="dxa" w:w="5083"/>
            <w:vAlign w:val="center"/>
          </w:tcPr>
          <w:p>
            <w:pPr>
              <w:spacing w:after="30"/>
            </w:pPr>
            <w:r>
              <w:rPr>
                <w:rFonts w:ascii="Aptos" w:hAnsi="Aptos"/>
                <w:sz w:val="16"/>
              </w:rPr>
              <w:t>Continuous or as initiated by users/integrations.</w:t>
            </w:r>
          </w:p>
        </w:tc>
      </w:tr>
      <w:tr>
        <w:tc>
          <w:tcPr>
            <w:tcW w:type="dxa" w:w="5083"/>
            <w:shd w:fill="F1F5F9"/>
            <w:vAlign w:val="center"/>
          </w:tcPr>
          <w:p>
            <w:pPr>
              <w:spacing w:after="30"/>
            </w:pPr>
            <w:r>
              <w:rPr>
                <w:rFonts w:ascii="Aptos" w:hAnsi="Aptos"/>
                <w:b/>
                <w:sz w:val="16"/>
              </w:rPr>
              <w:t>Purpose</w:t>
            </w:r>
          </w:p>
        </w:tc>
        <w:tc>
          <w:tcPr>
            <w:tcW w:type="dxa" w:w="5083"/>
            <w:vAlign w:val="center"/>
          </w:tcPr>
          <w:p>
            <w:pPr>
              <w:spacing w:after="30"/>
            </w:pPr>
            <w:r>
              <w:rPr>
                <w:rFonts w:ascii="Aptos" w:hAnsi="Aptos"/>
                <w:sz w:val="16"/>
              </w:rPr>
              <w:t>Providing contracted functionality, implementation, support, security, backup, troubleshooting, reporting and lawful compliance.</w:t>
            </w:r>
          </w:p>
        </w:tc>
      </w:tr>
    </w:tbl>
    <w:p>
      <w:pPr>
        <w:pStyle w:val="Heading2"/>
      </w:pPr>
      <w:r>
        <w:t>3. Finwell Obligations</w:t>
      </w:r>
    </w:p>
    <w:p>
      <w:pPr>
        <w:pStyle w:val="ListBullet"/>
        <w:spacing w:after="40"/>
      </w:pPr>
      <w:r>
        <w:t>Process Personal Data only on documented lawful instructions, unless required by law; where lawful, inform Client before such processing.</w:t>
      </w:r>
    </w:p>
    <w:p>
      <w:pPr>
        <w:pStyle w:val="ListBullet"/>
        <w:spacing w:after="40"/>
      </w:pPr>
      <w:r>
        <w:t>Ensure authorised personnel are bound by confidentiality and trained appropriately.</w:t>
      </w:r>
    </w:p>
    <w:p>
      <w:pPr>
        <w:pStyle w:val="ListBullet"/>
        <w:spacing w:after="40"/>
      </w:pPr>
      <w:r>
        <w:t>Maintain safeguards in Schedule 4 and take reasonable steps to prevent unauthorised processing.</w:t>
      </w:r>
    </w:p>
    <w:p>
      <w:pPr>
        <w:pStyle w:val="ListBullet"/>
        <w:spacing w:after="40"/>
      </w:pPr>
      <w:r>
        <w:t>Assist Client reasonably with Data Principal rights, grievance handling, impact assessments and regulatory consultation, taking into account the nature of processing.</w:t>
      </w:r>
    </w:p>
    <w:p>
      <w:pPr>
        <w:pStyle w:val="ListBullet"/>
        <w:spacing w:after="40"/>
      </w:pPr>
      <w:r>
        <w:t>Notify Client of a confirmed Security Incident under Clause 9 and provide available relevant information.</w:t>
      </w:r>
    </w:p>
    <w:p>
      <w:pPr>
        <w:pStyle w:val="ListBullet"/>
        <w:spacing w:after="40"/>
      </w:pPr>
      <w:r>
        <w:t>Maintain records reasonably required to demonstrate compliance and permit audits under Clause 18.</w:t>
      </w:r>
    </w:p>
    <w:p>
      <w:pPr>
        <w:pStyle w:val="ListBullet"/>
        <w:spacing w:after="40"/>
      </w:pPr>
      <w:r>
        <w:t>Return or delete Personal Data under Schedule 8, subject to legal retention and backup cycles.</w:t>
      </w:r>
    </w:p>
    <w:p>
      <w:pPr>
        <w:pStyle w:val="ListBullet"/>
        <w:spacing w:after="40"/>
      </w:pPr>
      <w:r>
        <w:t>Not sell Personal Data, use it for unrelated advertising, or train shared AI models on identifiable Customer Data without express written consent.</w:t>
      </w:r>
    </w:p>
    <w:p>
      <w:pPr>
        <w:pStyle w:val="Heading2"/>
      </w:pPr>
      <w:r>
        <w:t>4. Client Obligations</w:t>
      </w:r>
    </w:p>
    <w:p>
      <w:pPr>
        <w:pStyle w:val="ListBullet"/>
        <w:spacing w:after="40"/>
      </w:pPr>
      <w:r>
        <w:t>Ensure a lawful basis and provide clear privacy notices to Data Principals.</w:t>
      </w:r>
    </w:p>
    <w:p>
      <w:pPr>
        <w:pStyle w:val="ListBullet"/>
        <w:spacing w:after="40"/>
      </w:pPr>
      <w:r>
        <w:t>Issue lawful, accurate and proportionate instructions and avoid unnecessary data.</w:t>
      </w:r>
    </w:p>
    <w:p>
      <w:pPr>
        <w:pStyle w:val="ListBullet"/>
        <w:spacing w:after="40"/>
      </w:pPr>
      <w:r>
        <w:t>Respond to Data Principal requests and complaints, and notify Finwell where technical assistance is needed.</w:t>
      </w:r>
    </w:p>
    <w:p>
      <w:pPr>
        <w:pStyle w:val="ListBullet"/>
        <w:spacing w:after="40"/>
      </w:pPr>
      <w:r>
        <w:t>Configure access, retention, portals, employee monitoring and roles lawfully.</w:t>
      </w:r>
    </w:p>
    <w:p>
      <w:pPr>
        <w:pStyle w:val="ListBullet"/>
        <w:spacing w:after="40"/>
      </w:pPr>
      <w:r>
        <w:t>Ensure Customer Data does not violate law, confidentiality, intellectual property or third-party rights.</w:t>
      </w:r>
    </w:p>
    <w:p>
      <w:pPr>
        <w:pStyle w:val="ListBullet"/>
        <w:spacing w:after="40"/>
      </w:pPr>
      <w:r>
        <w:t>Maintain records of notices, consents or other authority and make them available where lawfully required.</w:t>
      </w:r>
    </w:p>
    <w:p>
      <w:pPr>
        <w:pStyle w:val="ListBullet"/>
        <w:spacing w:after="40"/>
      </w:pPr>
      <w:r>
        <w:t>Review automated scores and analytics before employment, financial, legal or disciplinary decisions.</w:t>
      </w:r>
    </w:p>
    <w:p>
      <w:pPr>
        <w:pStyle w:val="Heading2"/>
      </w:pPr>
      <w:r>
        <w:t>5. Data Principal Requests</w:t>
      </w:r>
    </w:p>
    <w:p>
      <w:pPr>
        <w:pStyle w:val="Clause"/>
        <w:keepLines/>
      </w:pPr>
      <w:r>
        <w:t>If Finwell receives a request relating to Customer Data, it shall promptly refer it to the Client and shall not respond except on the Client’s documented instruction or as required by law. Reasonable standard assistance is included; material custom work may be chargeable where the request is caused by Client configuration or exceeds normal platform capability.</w:t>
      </w:r>
    </w:p>
    <w:p>
      <w:pPr>
        <w:pStyle w:val="Heading2"/>
      </w:pPr>
      <w:r>
        <w:t>6. Subprocessors</w:t>
      </w:r>
    </w:p>
    <w:p>
      <w:pPr>
        <w:pStyle w:val="Clause"/>
        <w:keepLines/>
      </w:pPr>
      <w:r>
        <w:t>The Client gives general authorisation for subprocessors listed in Schedule 7. Finwell shall impose materially equivalent data-protection obligations and remain responsible for their processing under this Agreement. Finwell shall provide notice of a material new subprocessor where practicable. The Client may object on reasonable, documented data-protection grounds within ten (10) Business Days; the Parties shall seek a reasonable solution, which may include an alternative, suspension of the affected feature or termination of the affected Service with refund of prepaid unused Fees.</w:t>
      </w:r>
    </w:p>
    <w:p>
      <w:pPr>
        <w:pStyle w:val="Heading2"/>
      </w:pPr>
      <w:r>
        <w:t>7. Cross-Border Processing</w:t>
      </w:r>
    </w:p>
    <w:p>
      <w:pPr>
        <w:pStyle w:val="Clause"/>
        <w:keepLines/>
      </w:pPr>
      <w:r>
        <w:t>Finwell may process or permit processing in locations allowed under applicable law and disclosed in Schedule 7. Where a legal restriction or government notification applies, Finwell shall comply and cooperate on reasonable safeguards. The Client shall not require prohibited transfers.</w:t>
      </w:r>
    </w:p>
    <w:p>
      <w:pPr>
        <w:pStyle w:val="Heading2"/>
      </w:pPr>
      <w:r>
        <w:t>8. Retention and Deletion</w:t>
      </w:r>
    </w:p>
    <w:p>
      <w:pPr>
        <w:pStyle w:val="Clause"/>
        <w:keepLines/>
      </w:pPr>
      <w:r>
        <w:t>The Client controls ordinary retention through Platform settings where available. Upon termination, Schedule 8 applies. Finwell may retain information required by law, for billing, dispute, fraud prevention or security, and in inaccessible backups until ordinary rotation, subject to continued protection.</w:t>
      </w:r>
    </w:p>
    <w:p>
      <w:pPr>
        <w:pStyle w:val="Heading2"/>
      </w:pPr>
      <w:r>
        <w:t>9. Government and Law-Enforcement Requests</w:t>
      </w:r>
    </w:p>
    <w:p>
      <w:pPr>
        <w:pStyle w:val="Clause"/>
        <w:keepLines/>
      </w:pPr>
      <w:r>
        <w:t>Unless prohibited by law, Finwell shall notify the Client of a binding request for Customer Data, challenge overbroad requests where reasonable, and disclose only the legally required data. Finwell may disclose immediately to prevent imminent harm or protect system security where legally permitted.</w:t>
      </w:r>
    </w:p>
    <w:p>
      <w:pPr>
        <w:pStyle w:val="Heading2"/>
      </w:pPr>
      <w:r>
        <w:t>10. Allocation of Regulatory Responsibility</w:t>
      </w:r>
    </w:p>
    <w:p>
      <w:pPr>
        <w:pStyle w:val="Clause"/>
        <w:keepLines/>
      </w:pPr>
      <w:r>
        <w:t>Each Party is responsible for penalties, claims and costs to the extent caused by its own violation. Nothing in this Schedule transfers the Client’s responsibility for determining lawful purposes, notices, access and retention, or Finwell’s responsibility for processing outside instructions or failing its safeguards.</w:t>
      </w:r>
    </w:p>
    <w:p>
      <w:r>
        <w:br w:type="page"/>
      </w:r>
    </w:p>
    <w:tbl>
      <w:tblPr>
        <w:tblW w:type="auto" w:w="0"/>
        <w:jc w:val="center"/>
        <w:tblLayout w:type="autofit"/>
        <w:tblLook w:firstColumn="1" w:firstRow="1" w:lastColumn="0" w:lastRow="0" w:noHBand="0" w:noVBand="1" w:val="04A0"/>
      </w:tblPr>
      <w:tblGrid>
        <w:gridCol w:w="10166"/>
      </w:tblGrid>
      <w:tr>
        <w:tc>
          <w:tcPr>
            <w:tcW w:type="dxa" w:w="10166"/>
            <w:shd w:fill="0B1F33"/>
            <w:tcMar>
              <w:top w:w="300" w:type="dxa"/>
              <w:start w:w="300" w:type="dxa"/>
              <w:bottom w:w="300" w:type="dxa"/>
              <w:end w:w="300" w:type="dxa"/>
            </w:tcMar>
            <w:vAlign w:val="center"/>
          </w:tcPr>
          <w:p>
            <w:pPr>
              <w:spacing w:after="30"/>
              <w:jc w:val="center"/>
            </w:pPr>
            <w:r>
              <w:rPr>
                <w:rFonts w:ascii="Aptos" w:hAnsi="Aptos"/>
                <w:b/>
                <w:color w:val="FFFFFF"/>
                <w:sz w:val="16"/>
              </w:rPr>
              <w:t>SCHEDULE 4</w:t>
              <w:br/>
              <w:t>INFORMATION SECURITY MEASURES</w:t>
            </w:r>
          </w:p>
          <w:p>
            <w:pPr>
              <w:spacing w:after="30"/>
              <w:jc w:val="center"/>
            </w:pPr>
            <w:r>
              <w:rPr>
                <w:rFonts w:ascii="Aptos" w:hAnsi="Aptos"/>
                <w:color w:val="FED7AA"/>
                <w:sz w:val="16"/>
              </w:rPr>
              <w:t>Baseline controls for protection of Customer Data.</w:t>
            </w:r>
          </w:p>
        </w:tc>
      </w:tr>
    </w:tbl>
    <w:p>
      <w:pPr>
        <w:pStyle w:val="Heading2"/>
      </w:pPr>
      <w:r>
        <w:t>1. Governance and Personnel</w:t>
      </w:r>
    </w:p>
    <w:p>
      <w:pPr>
        <w:pStyle w:val="ListBullet"/>
        <w:spacing w:after="40"/>
      </w:pPr>
      <w:r>
        <w:t>Documented security responsibilities and access approval.</w:t>
      </w:r>
    </w:p>
    <w:p>
      <w:pPr>
        <w:pStyle w:val="ListBullet"/>
        <w:spacing w:after="40"/>
      </w:pPr>
      <w:r>
        <w:t>Confidentiality obligations for personnel and contractors.</w:t>
      </w:r>
    </w:p>
    <w:p>
      <w:pPr>
        <w:pStyle w:val="ListBullet"/>
        <w:spacing w:after="40"/>
      </w:pPr>
      <w:r>
        <w:t>Security awareness and role-appropriate training.</w:t>
      </w:r>
    </w:p>
    <w:p>
      <w:pPr>
        <w:pStyle w:val="ListBullet"/>
        <w:spacing w:after="40"/>
      </w:pPr>
      <w:r>
        <w:t>Prompt revocation of access on role change or separation.</w:t>
      </w:r>
    </w:p>
    <w:p>
      <w:pPr>
        <w:pStyle w:val="ListBullet"/>
        <w:spacing w:after="40"/>
      </w:pPr>
      <w:r>
        <w:t>Periodic review of privileged access.</w:t>
      </w:r>
    </w:p>
    <w:p>
      <w:pPr>
        <w:pStyle w:val="Heading2"/>
      </w:pPr>
      <w:r>
        <w:t>2. Access Control</w:t>
      </w:r>
    </w:p>
    <w:p>
      <w:pPr>
        <w:pStyle w:val="ListBullet"/>
        <w:spacing w:after="40"/>
      </w:pPr>
      <w:r>
        <w:t>Unique user accounts and role-based access controls.</w:t>
      </w:r>
    </w:p>
    <w:p>
      <w:pPr>
        <w:pStyle w:val="ListBullet"/>
        <w:spacing w:after="40"/>
      </w:pPr>
      <w:r>
        <w:t>Least-privilege access for support and administration.</w:t>
      </w:r>
    </w:p>
    <w:p>
      <w:pPr>
        <w:pStyle w:val="ListBullet"/>
        <w:spacing w:after="40"/>
      </w:pPr>
      <w:r>
        <w:t>Strong password controls and secure credential storage.</w:t>
      </w:r>
    </w:p>
    <w:p>
      <w:pPr>
        <w:pStyle w:val="ListBullet"/>
        <w:spacing w:after="40"/>
      </w:pPr>
      <w:r>
        <w:t>Multifactor authentication for privileged administrative access where supported.</w:t>
      </w:r>
    </w:p>
    <w:p>
      <w:pPr>
        <w:pStyle w:val="ListBullet"/>
        <w:spacing w:after="40"/>
      </w:pPr>
      <w:r>
        <w:t>Audit logging of material administrative and security events.</w:t>
      </w:r>
    </w:p>
    <w:p>
      <w:pPr>
        <w:pStyle w:val="Heading2"/>
      </w:pPr>
      <w:r>
        <w:t>3. Data and Network Security</w:t>
      </w:r>
    </w:p>
    <w:p>
      <w:pPr>
        <w:pStyle w:val="ListBullet"/>
        <w:spacing w:after="40"/>
      </w:pPr>
      <w:r>
        <w:t>Encryption in transit using industry-standard protocols.</w:t>
      </w:r>
    </w:p>
    <w:p>
      <w:pPr>
        <w:pStyle w:val="ListBullet"/>
        <w:spacing w:after="40"/>
      </w:pPr>
      <w:r>
        <w:t>Encryption at rest for managed production databases/storage where commercially and technically appropriate.</w:t>
      </w:r>
    </w:p>
    <w:p>
      <w:pPr>
        <w:pStyle w:val="ListBullet"/>
        <w:spacing w:after="40"/>
      </w:pPr>
      <w:r>
        <w:t>Logical separation of customer environments or data through access and tenant controls.</w:t>
      </w:r>
    </w:p>
    <w:p>
      <w:pPr>
        <w:pStyle w:val="ListBullet"/>
        <w:spacing w:after="40"/>
      </w:pPr>
      <w:r>
        <w:t>Firewalls, network restrictions and secure administration channels.</w:t>
      </w:r>
    </w:p>
    <w:p>
      <w:pPr>
        <w:pStyle w:val="ListBullet"/>
        <w:spacing w:after="40"/>
      </w:pPr>
      <w:r>
        <w:t>Malware protection and endpoint controls for managed systems.</w:t>
      </w:r>
    </w:p>
    <w:p>
      <w:pPr>
        <w:pStyle w:val="Heading2"/>
      </w:pPr>
      <w:r>
        <w:t>4. Secure Development and Change Management</w:t>
      </w:r>
    </w:p>
    <w:p>
      <w:pPr>
        <w:pStyle w:val="ListBullet"/>
        <w:spacing w:after="40"/>
      </w:pPr>
      <w:r>
        <w:t>Controlled source repositories and restricted production access.</w:t>
      </w:r>
    </w:p>
    <w:p>
      <w:pPr>
        <w:pStyle w:val="ListBullet"/>
        <w:spacing w:after="40"/>
      </w:pPr>
      <w:r>
        <w:t>Code review and testing appropriate to material changes.</w:t>
      </w:r>
    </w:p>
    <w:p>
      <w:pPr>
        <w:pStyle w:val="ListBullet"/>
        <w:spacing w:after="40"/>
      </w:pPr>
      <w:r>
        <w:t>Separation of development/test and production environments where practicable.</w:t>
      </w:r>
    </w:p>
    <w:p>
      <w:pPr>
        <w:pStyle w:val="ListBullet"/>
        <w:spacing w:after="40"/>
      </w:pPr>
      <w:r>
        <w:t>Vulnerability remediation based on severity and risk.</w:t>
      </w:r>
    </w:p>
    <w:p>
      <w:pPr>
        <w:pStyle w:val="ListBullet"/>
        <w:spacing w:after="40"/>
      </w:pPr>
      <w:r>
        <w:t>Change approval, rollback planning and deployment records for material releases.</w:t>
      </w:r>
    </w:p>
    <w:p>
      <w:pPr>
        <w:pStyle w:val="Heading2"/>
      </w:pPr>
      <w:r>
        <w:t>5. Logging, Monitoring and Incident Response</w:t>
      </w:r>
    </w:p>
    <w:p>
      <w:pPr>
        <w:pStyle w:val="ListBullet"/>
        <w:spacing w:after="40"/>
      </w:pPr>
      <w:r>
        <w:t>Monitoring of material operational and security events.</w:t>
      </w:r>
    </w:p>
    <w:p>
      <w:pPr>
        <w:pStyle w:val="ListBullet"/>
        <w:spacing w:after="40"/>
      </w:pPr>
      <w:r>
        <w:t>Documented incident-response process and escalation contacts.</w:t>
      </w:r>
    </w:p>
    <w:p>
      <w:pPr>
        <w:pStyle w:val="ListBullet"/>
        <w:spacing w:after="40"/>
      </w:pPr>
      <w:r>
        <w:t>Preservation of relevant logs and evidence, subject to legal and technical limits.</w:t>
      </w:r>
    </w:p>
    <w:p>
      <w:pPr>
        <w:pStyle w:val="ListBullet"/>
        <w:spacing w:after="40"/>
      </w:pPr>
      <w:r>
        <w:t>Cooperation with applicable cyber-incident reporting obligations, including CERT-In requirements where applicable.</w:t>
      </w:r>
    </w:p>
    <w:p>
      <w:pPr>
        <w:pStyle w:val="ListBullet"/>
        <w:spacing w:after="40"/>
      </w:pPr>
      <w:r>
        <w:t>Post-incident corrective actions for material incidents.</w:t>
      </w:r>
    </w:p>
    <w:p>
      <w:pPr>
        <w:pStyle w:val="Heading2"/>
      </w:pPr>
      <w:r>
        <w:t>6. Backups and Continuity</w:t>
      </w:r>
    </w:p>
    <w:p>
      <w:pPr>
        <w:pStyle w:val="ListBullet"/>
        <w:spacing w:after="40"/>
      </w:pPr>
      <w:r>
        <w:t>Regular backups of core production data according to Finwell’s operational policy.</w:t>
      </w:r>
    </w:p>
    <w:p>
      <w:pPr>
        <w:pStyle w:val="ListBullet"/>
        <w:spacing w:after="40"/>
      </w:pPr>
      <w:r>
        <w:t>Restricted access to backups and protection during transmission/storage.</w:t>
      </w:r>
    </w:p>
    <w:p>
      <w:pPr>
        <w:pStyle w:val="ListBullet"/>
        <w:spacing w:after="40"/>
      </w:pPr>
      <w:r>
        <w:t>Periodic restoration or recovery testing.</w:t>
      </w:r>
    </w:p>
    <w:p>
      <w:pPr>
        <w:pStyle w:val="ListBullet"/>
        <w:spacing w:after="40"/>
      </w:pPr>
      <w:r>
        <w:t>Business-continuity and disaster-recovery procedures proportionate to service risk.</w:t>
      </w:r>
    </w:p>
    <w:p>
      <w:pPr>
        <w:pStyle w:val="ListBullet"/>
        <w:spacing w:after="40"/>
      </w:pPr>
      <w:r>
        <w:t>Target recovery objectives stated below are objectives and not absolute guarantees unless separately contracted.</w:t>
      </w:r>
    </w:p>
    <w:tbl>
      <w:tblPr>
        <w:tblStyle w:val="TableGrid"/>
        <w:tblW w:type="auto" w:w="0"/>
        <w:tblLayout w:type="autofit"/>
        <w:tblLook w:firstColumn="1" w:firstRow="1" w:lastColumn="0" w:lastRow="0" w:noHBand="0" w:noVBand="1" w:val="04A0"/>
      </w:tblPr>
      <w:tblGrid>
        <w:gridCol w:w="3389"/>
        <w:gridCol w:w="3389"/>
        <w:gridCol w:w="3389"/>
      </w:tblGrid>
      <w:tr>
        <w:tc>
          <w:tcPr>
            <w:tcW w:type="dxa" w:w="3389"/>
            <w:shd w:fill="0B1F33"/>
            <w:vAlign w:val="center"/>
          </w:tcPr>
          <w:p>
            <w:pPr>
              <w:spacing w:after="30"/>
            </w:pPr>
            <w:r>
              <w:rPr>
                <w:rFonts w:ascii="Aptos" w:hAnsi="Aptos"/>
                <w:color w:val="FFFFFF"/>
                <w:sz w:val="16"/>
              </w:rPr>
              <w:t>Measure</w:t>
            </w:r>
          </w:p>
        </w:tc>
        <w:tc>
          <w:tcPr>
            <w:tcW w:type="dxa" w:w="3389"/>
            <w:shd w:fill="0B1F33"/>
            <w:vAlign w:val="center"/>
          </w:tcPr>
          <w:p>
            <w:pPr>
              <w:spacing w:after="30"/>
            </w:pPr>
            <w:r>
              <w:rPr>
                <w:rFonts w:ascii="Aptos" w:hAnsi="Aptos"/>
                <w:color w:val="FFFFFF"/>
                <w:sz w:val="16"/>
              </w:rPr>
              <w:t>Standard Target</w:t>
            </w:r>
          </w:p>
        </w:tc>
        <w:tc>
          <w:tcPr>
            <w:tcW w:type="dxa" w:w="3389"/>
            <w:shd w:fill="0B1F33"/>
            <w:vAlign w:val="center"/>
          </w:tcPr>
          <w:p>
            <w:pPr>
              <w:spacing w:after="30"/>
            </w:pPr>
            <w:r>
              <w:rPr>
                <w:rFonts w:ascii="Aptos" w:hAnsi="Aptos"/>
                <w:color w:val="FFFFFF"/>
                <w:sz w:val="16"/>
              </w:rPr>
              <w:t>Notes</w:t>
            </w:r>
          </w:p>
        </w:tc>
      </w:tr>
      <w:tr>
        <w:tc>
          <w:tcPr>
            <w:tcW w:type="dxa" w:w="3389"/>
            <w:vAlign w:val="center"/>
          </w:tcPr>
          <w:p>
            <w:pPr>
              <w:spacing w:after="30"/>
            </w:pPr>
            <w:r>
              <w:rPr>
                <w:rFonts w:ascii="Aptos" w:hAnsi="Aptos"/>
                <w:sz w:val="16"/>
              </w:rPr>
              <w:t>Production backup frequency</w:t>
            </w:r>
          </w:p>
        </w:tc>
        <w:tc>
          <w:tcPr>
            <w:tcW w:type="dxa" w:w="3389"/>
            <w:vAlign w:val="center"/>
          </w:tcPr>
          <w:p>
            <w:pPr>
              <w:spacing w:after="30"/>
            </w:pPr>
            <w:r>
              <w:rPr>
                <w:rFonts w:ascii="Aptos" w:hAnsi="Aptos"/>
                <w:sz w:val="16"/>
              </w:rPr>
              <w:t>At least daily for core hosted database</w:t>
            </w:r>
          </w:p>
        </w:tc>
        <w:tc>
          <w:tcPr>
            <w:tcW w:type="dxa" w:w="3389"/>
            <w:vAlign w:val="center"/>
          </w:tcPr>
          <w:p>
            <w:pPr>
              <w:spacing w:after="30"/>
            </w:pPr>
            <w:r>
              <w:rPr>
                <w:rFonts w:ascii="Aptos" w:hAnsi="Aptos"/>
                <w:sz w:val="16"/>
              </w:rPr>
              <w:t>May vary by component</w:t>
            </w:r>
          </w:p>
        </w:tc>
      </w:tr>
      <w:tr>
        <w:tc>
          <w:tcPr>
            <w:tcW w:type="dxa" w:w="3389"/>
            <w:vAlign w:val="center"/>
          </w:tcPr>
          <w:p>
            <w:pPr>
              <w:spacing w:after="30"/>
            </w:pPr>
            <w:r>
              <w:rPr>
                <w:rFonts w:ascii="Aptos" w:hAnsi="Aptos"/>
                <w:sz w:val="16"/>
              </w:rPr>
              <w:t>Backup retention</w:t>
            </w:r>
          </w:p>
        </w:tc>
        <w:tc>
          <w:tcPr>
            <w:tcW w:type="dxa" w:w="3389"/>
            <w:vAlign w:val="center"/>
          </w:tcPr>
          <w:p>
            <w:r>
              <w:t>30 days rolling</w:t>
            </w:r>
          </w:p>
        </w:tc>
        <w:tc>
          <w:tcPr>
            <w:tcW w:type="dxa" w:w="3389"/>
            <w:vAlign w:val="center"/>
          </w:tcPr>
          <w:p>
            <w:pPr>
              <w:spacing w:after="30"/>
            </w:pPr>
            <w:r>
              <w:rPr>
                <w:rFonts w:ascii="Aptos" w:hAnsi="Aptos"/>
                <w:sz w:val="16"/>
              </w:rPr>
              <w:t>Subject to plan and provider</w:t>
            </w:r>
          </w:p>
        </w:tc>
      </w:tr>
      <w:tr>
        <w:tc>
          <w:tcPr>
            <w:tcW w:type="dxa" w:w="3389"/>
            <w:vAlign w:val="center"/>
          </w:tcPr>
          <w:p>
            <w:pPr>
              <w:spacing w:after="30"/>
            </w:pPr>
            <w:r>
              <w:rPr>
                <w:rFonts w:ascii="Aptos" w:hAnsi="Aptos"/>
                <w:sz w:val="16"/>
              </w:rPr>
              <w:t>Target RPO</w:t>
            </w:r>
          </w:p>
        </w:tc>
        <w:tc>
          <w:tcPr>
            <w:tcW w:type="dxa" w:w="3389"/>
            <w:vAlign w:val="center"/>
          </w:tcPr>
          <w:p>
            <w:r>
              <w:t>Up to 24 hours</w:t>
            </w:r>
          </w:p>
        </w:tc>
        <w:tc>
          <w:tcPr>
            <w:tcW w:type="dxa" w:w="3389"/>
            <w:vAlign w:val="center"/>
          </w:tcPr>
          <w:p>
            <w:pPr>
              <w:spacing w:after="30"/>
            </w:pPr>
            <w:r>
              <w:rPr>
                <w:rFonts w:ascii="Aptos" w:hAnsi="Aptos"/>
                <w:sz w:val="16"/>
              </w:rPr>
              <w:t>Enterprise option may differ</w:t>
            </w:r>
          </w:p>
        </w:tc>
      </w:tr>
      <w:tr>
        <w:tc>
          <w:tcPr>
            <w:tcW w:type="dxa" w:w="3389"/>
            <w:vAlign w:val="center"/>
          </w:tcPr>
          <w:p>
            <w:pPr>
              <w:spacing w:after="30"/>
            </w:pPr>
            <w:r>
              <w:rPr>
                <w:rFonts w:ascii="Aptos" w:hAnsi="Aptos"/>
                <w:sz w:val="16"/>
              </w:rPr>
              <w:t>Target RTO</w:t>
            </w:r>
          </w:p>
        </w:tc>
        <w:tc>
          <w:tcPr>
            <w:tcW w:type="dxa" w:w="3389"/>
            <w:vAlign w:val="center"/>
          </w:tcPr>
          <w:p>
            <w:r>
              <w:t>Up to 24 hours after disaster declaration</w:t>
            </w:r>
          </w:p>
        </w:tc>
        <w:tc>
          <w:tcPr>
            <w:tcW w:type="dxa" w:w="3389"/>
            <w:vAlign w:val="center"/>
          </w:tcPr>
          <w:p>
            <w:pPr>
              <w:spacing w:after="30"/>
            </w:pPr>
            <w:r>
              <w:rPr>
                <w:rFonts w:ascii="Aptos" w:hAnsi="Aptos"/>
                <w:sz w:val="16"/>
              </w:rPr>
              <w:t>Depends on incident scope</w:t>
            </w:r>
          </w:p>
        </w:tc>
      </w:tr>
    </w:tbl>
    <w:p>
      <w:pPr>
        <w:pStyle w:val="Heading2"/>
      </w:pPr>
      <w:r>
        <w:t>7. Client Security Responsibilities</w:t>
      </w:r>
    </w:p>
    <w:p>
      <w:pPr>
        <w:pStyle w:val="ListBullet"/>
        <w:spacing w:after="40"/>
      </w:pPr>
      <w:r>
        <w:t>Secure devices, networks, browsers, email accounts and credentials.</w:t>
      </w:r>
    </w:p>
    <w:p>
      <w:pPr>
        <w:pStyle w:val="ListBullet"/>
        <w:spacing w:after="40"/>
      </w:pPr>
      <w:r>
        <w:t>Use supported software and apply security updates.</w:t>
      </w:r>
    </w:p>
    <w:p>
      <w:pPr>
        <w:pStyle w:val="ListBullet"/>
        <w:spacing w:after="40"/>
      </w:pPr>
      <w:r>
        <w:t>Enable available MFA and restrict administrator access.</w:t>
      </w:r>
    </w:p>
    <w:p>
      <w:pPr>
        <w:pStyle w:val="ListBullet"/>
        <w:spacing w:after="40"/>
      </w:pPr>
      <w:r>
        <w:t>Promptly remove departed users and review permissions.</w:t>
      </w:r>
    </w:p>
    <w:p>
      <w:pPr>
        <w:pStyle w:val="ListBullet"/>
        <w:spacing w:after="40"/>
      </w:pPr>
      <w:r>
        <w:t>Do not share credentials or export data to insecure locations.</w:t>
      </w:r>
    </w:p>
    <w:p>
      <w:pPr>
        <w:pStyle w:val="ListBullet"/>
        <w:spacing w:after="40"/>
      </w:pPr>
      <w:r>
        <w:t>Notify Finwell promptly of suspected compromise.</w:t>
      </w:r>
    </w:p>
    <w:p>
      <w:pPr>
        <w:pStyle w:val="ListBullet"/>
        <w:spacing w:after="40"/>
      </w:pPr>
      <w:r>
        <w:t>Maintain independent statutory/source records and backups.</w:t>
      </w:r>
    </w:p>
    <w:p>
      <w:pPr>
        <w:pStyle w:val="Heading2"/>
      </w:pPr>
      <w:r>
        <w:t>8. Security Limitations</w:t>
      </w:r>
    </w:p>
    <w:p>
      <w:pPr>
        <w:pStyle w:val="Clause"/>
        <w:keepLines/>
      </w:pPr>
      <w:r>
        <w:t>No system is completely secure. These measures are risk-based commitments and do not constitute a guarantee against all threats. Finwell may replace controls with equivalent or stronger controls and will not materially reduce overall security during an active term.</w:t>
      </w:r>
    </w:p>
    <w:p>
      <w:r>
        <w:br w:type="page"/>
      </w:r>
    </w:p>
    <w:tbl>
      <w:tblPr>
        <w:tblW w:type="auto" w:w="0"/>
        <w:jc w:val="center"/>
        <w:tblLayout w:type="autofit"/>
        <w:tblLook w:firstColumn="1" w:firstRow="1" w:lastColumn="0" w:lastRow="0" w:noHBand="0" w:noVBand="1" w:val="04A0"/>
      </w:tblPr>
      <w:tblGrid>
        <w:gridCol w:w="10166"/>
      </w:tblGrid>
      <w:tr>
        <w:tc>
          <w:tcPr>
            <w:tcW w:type="dxa" w:w="10166"/>
            <w:shd w:fill="0B1F33"/>
            <w:tcMar>
              <w:top w:w="300" w:type="dxa"/>
              <w:start w:w="300" w:type="dxa"/>
              <w:bottom w:w="300" w:type="dxa"/>
              <w:end w:w="300" w:type="dxa"/>
            </w:tcMar>
            <w:vAlign w:val="center"/>
          </w:tcPr>
          <w:p>
            <w:pPr>
              <w:spacing w:after="30"/>
              <w:jc w:val="center"/>
            </w:pPr>
            <w:r>
              <w:rPr>
                <w:rFonts w:ascii="Aptos" w:hAnsi="Aptos"/>
                <w:b/>
                <w:color w:val="FFFFFF"/>
                <w:sz w:val="16"/>
              </w:rPr>
              <w:t>SCHEDULE 5</w:t>
              <w:br/>
              <w:t>SERVICE LEVELS AND SUPPORT</w:t>
            </w:r>
          </w:p>
          <w:p>
            <w:pPr>
              <w:spacing w:after="30"/>
              <w:jc w:val="center"/>
            </w:pPr>
            <w:r>
              <w:rPr>
                <w:rFonts w:ascii="Aptos" w:hAnsi="Aptos"/>
                <w:color w:val="FED7AA"/>
                <w:sz w:val="16"/>
              </w:rPr>
              <w:t>Availability, support priority and maintenance.</w:t>
            </w:r>
          </w:p>
        </w:tc>
      </w:tr>
    </w:tbl>
    <w:p>
      <w:pPr>
        <w:pStyle w:val="Heading2"/>
      </w:pPr>
      <w:r>
        <w:t>1. Availability</w:t>
      </w:r>
    </w:p>
    <w:p>
      <w:pPr>
        <w:pStyle w:val="Clause"/>
        <w:keepLines/>
      </w:pPr>
      <w:r>
        <w:t>Target monthly availability for the hosted core Platform is 99.5%, measured at the service boundary controlled by Finwell. Availability excludes: scheduled maintenance; emergency maintenance; Client systems or internet; Third-Party Services; integrations; misuse; suspension; force majeure; beta features; and agreed project or migration windows.</w:t>
      </w:r>
    </w:p>
    <w:p>
      <w:pPr>
        <w:pStyle w:val="Clause"/>
        <w:keepLines/>
      </w:pPr>
      <w:r>
        <w:t>Scheduled maintenance will ordinarily be notified at least twenty-four (24) hours in advance and, where practicable, performed outside normal Indian business hours. Emergency maintenance may be performed without advance notice where necessary for security or stability.</w:t>
      </w:r>
    </w:p>
    <w:p>
      <w:pPr>
        <w:pStyle w:val="Heading2"/>
      </w:pPr>
      <w:r>
        <w:t>2. Support Hours and Channels</w:t>
      </w:r>
    </w:p>
    <w:p>
      <w:pPr>
        <w:pStyle w:val="Clause"/>
        <w:keepLines/>
      </w:pPr>
      <w:r>
        <w:t>Standard support hours: 10:00 a.m. to 6:00 p.m. IST on Business Days. Channels: in-app support ticket and designated email. Phone/WhatsApp support is only included if specified in the Order Form. Extended-hours or dedicated support may be separately purchased.</w:t>
      </w:r>
    </w:p>
    <w:p>
      <w:pPr>
        <w:pStyle w:val="Heading2"/>
      </w:pPr>
      <w:r>
        <w:t>3. Severity and Response Targets</w:t>
      </w:r>
    </w:p>
    <w:tbl>
      <w:tblPr>
        <w:tblStyle w:val="TableGrid"/>
        <w:tblW w:type="auto" w:w="0"/>
        <w:jc w:val="center"/>
        <w:tblLayout w:type="autofit"/>
        <w:tblLook w:firstColumn="1" w:firstRow="1" w:lastColumn="0" w:lastRow="0" w:noHBand="0" w:noVBand="1" w:val="04A0"/>
      </w:tblPr>
      <w:tblGrid>
        <w:gridCol w:w="2033"/>
        <w:gridCol w:w="2033"/>
        <w:gridCol w:w="2033"/>
        <w:gridCol w:w="2033"/>
        <w:gridCol w:w="2033"/>
      </w:tblGrid>
      <w:tr>
        <w:tc>
          <w:tcPr>
            <w:tcW w:type="dxa" w:w="2033"/>
            <w:shd w:fill="0B1F33"/>
            <w:vAlign w:val="center"/>
          </w:tcPr>
          <w:p>
            <w:pPr>
              <w:spacing w:after="30"/>
            </w:pPr>
            <w:r>
              <w:rPr>
                <w:rFonts w:ascii="Aptos" w:hAnsi="Aptos"/>
                <w:color w:val="FFFFFF"/>
                <w:sz w:val="16"/>
              </w:rPr>
              <w:t>Severity</w:t>
            </w:r>
          </w:p>
        </w:tc>
        <w:tc>
          <w:tcPr>
            <w:tcW w:type="dxa" w:w="2033"/>
            <w:shd w:fill="0B1F33"/>
            <w:vAlign w:val="center"/>
          </w:tcPr>
          <w:p>
            <w:pPr>
              <w:spacing w:after="30"/>
            </w:pPr>
            <w:r>
              <w:rPr>
                <w:rFonts w:ascii="Aptos" w:hAnsi="Aptos"/>
                <w:color w:val="FFFFFF"/>
                <w:sz w:val="16"/>
              </w:rPr>
              <w:t>Description</w:t>
            </w:r>
          </w:p>
        </w:tc>
        <w:tc>
          <w:tcPr>
            <w:tcW w:type="dxa" w:w="2033"/>
            <w:shd w:fill="0B1F33"/>
            <w:vAlign w:val="center"/>
          </w:tcPr>
          <w:p>
            <w:pPr>
              <w:spacing w:after="30"/>
            </w:pPr>
            <w:r>
              <w:rPr>
                <w:rFonts w:ascii="Aptos" w:hAnsi="Aptos"/>
                <w:color w:val="FFFFFF"/>
                <w:sz w:val="16"/>
              </w:rPr>
              <w:t>Initial Response</w:t>
            </w:r>
          </w:p>
        </w:tc>
        <w:tc>
          <w:tcPr>
            <w:tcW w:type="dxa" w:w="2033"/>
            <w:shd w:fill="0B1F33"/>
            <w:vAlign w:val="center"/>
          </w:tcPr>
          <w:p>
            <w:pPr>
              <w:spacing w:after="30"/>
            </w:pPr>
            <w:r>
              <w:rPr>
                <w:rFonts w:ascii="Aptos" w:hAnsi="Aptos"/>
                <w:color w:val="FFFFFF"/>
                <w:sz w:val="16"/>
              </w:rPr>
              <w:t>Update Target</w:t>
            </w:r>
          </w:p>
        </w:tc>
        <w:tc>
          <w:tcPr>
            <w:tcW w:type="dxa" w:w="2033"/>
            <w:shd w:fill="0B1F33"/>
            <w:vAlign w:val="center"/>
          </w:tcPr>
          <w:p>
            <w:pPr>
              <w:spacing w:after="30"/>
            </w:pPr>
            <w:r>
              <w:rPr>
                <w:rFonts w:ascii="Aptos" w:hAnsi="Aptos"/>
                <w:color w:val="FFFFFF"/>
                <w:sz w:val="16"/>
              </w:rPr>
              <w:t>Resolution Approach</w:t>
            </w:r>
          </w:p>
        </w:tc>
      </w:tr>
      <w:tr>
        <w:tc>
          <w:tcPr>
            <w:tcW w:type="dxa" w:w="2033"/>
            <w:vAlign w:val="center"/>
          </w:tcPr>
          <w:p>
            <w:pPr>
              <w:spacing w:after="30"/>
            </w:pPr>
            <w:r>
              <w:rPr>
                <w:rFonts w:ascii="Aptos" w:hAnsi="Aptos"/>
                <w:sz w:val="16"/>
              </w:rPr>
              <w:t>S1 Critical</w:t>
            </w:r>
          </w:p>
        </w:tc>
        <w:tc>
          <w:tcPr>
            <w:tcW w:type="dxa" w:w="2033"/>
            <w:vAlign w:val="center"/>
          </w:tcPr>
          <w:p>
            <w:pPr>
              <w:spacing w:after="30"/>
            </w:pPr>
            <w:r>
              <w:rPr>
                <w:rFonts w:ascii="Aptos" w:hAnsi="Aptos"/>
                <w:sz w:val="16"/>
              </w:rPr>
              <w:t>Production unavailable for most users or confirmed severe security event</w:t>
            </w:r>
          </w:p>
        </w:tc>
        <w:tc>
          <w:tcPr>
            <w:tcW w:type="dxa" w:w="2033"/>
            <w:vAlign w:val="center"/>
          </w:tcPr>
          <w:p>
            <w:pPr>
              <w:spacing w:after="30"/>
            </w:pPr>
            <w:r>
              <w:rPr>
                <w:rFonts w:ascii="Aptos" w:hAnsi="Aptos"/>
                <w:sz w:val="16"/>
              </w:rPr>
              <w:t>2 business hours</w:t>
            </w:r>
          </w:p>
        </w:tc>
        <w:tc>
          <w:tcPr>
            <w:tcW w:type="dxa" w:w="2033"/>
            <w:vAlign w:val="center"/>
          </w:tcPr>
          <w:p>
            <w:pPr>
              <w:spacing w:after="30"/>
            </w:pPr>
            <w:r>
              <w:rPr>
                <w:rFonts w:ascii="Aptos" w:hAnsi="Aptos"/>
                <w:sz w:val="16"/>
              </w:rPr>
              <w:t>Every 4 business hours</w:t>
            </w:r>
          </w:p>
        </w:tc>
        <w:tc>
          <w:tcPr>
            <w:tcW w:type="dxa" w:w="2033"/>
            <w:vAlign w:val="center"/>
          </w:tcPr>
          <w:p>
            <w:pPr>
              <w:spacing w:after="30"/>
            </w:pPr>
            <w:r>
              <w:rPr>
                <w:rFonts w:ascii="Aptos" w:hAnsi="Aptos"/>
                <w:sz w:val="16"/>
              </w:rPr>
              <w:t>Continuous reasonable efforts / workaround</w:t>
            </w:r>
          </w:p>
        </w:tc>
      </w:tr>
      <w:tr>
        <w:tc>
          <w:tcPr>
            <w:tcW w:type="dxa" w:w="2033"/>
            <w:vAlign w:val="center"/>
          </w:tcPr>
          <w:p>
            <w:pPr>
              <w:spacing w:after="30"/>
            </w:pPr>
            <w:r>
              <w:rPr>
                <w:rFonts w:ascii="Aptos" w:hAnsi="Aptos"/>
                <w:sz w:val="16"/>
              </w:rPr>
              <w:t>S2 High</w:t>
            </w:r>
          </w:p>
        </w:tc>
        <w:tc>
          <w:tcPr>
            <w:tcW w:type="dxa" w:w="2033"/>
            <w:vAlign w:val="center"/>
          </w:tcPr>
          <w:p>
            <w:pPr>
              <w:spacing w:after="30"/>
            </w:pPr>
            <w:r>
              <w:rPr>
                <w:rFonts w:ascii="Aptos" w:hAnsi="Aptos"/>
                <w:sz w:val="16"/>
              </w:rPr>
              <w:t>Material function unavailable with no reasonable workaround</w:t>
            </w:r>
          </w:p>
        </w:tc>
        <w:tc>
          <w:tcPr>
            <w:tcW w:type="dxa" w:w="2033"/>
            <w:vAlign w:val="center"/>
          </w:tcPr>
          <w:p>
            <w:pPr>
              <w:spacing w:after="30"/>
            </w:pPr>
            <w:r>
              <w:rPr>
                <w:rFonts w:ascii="Aptos" w:hAnsi="Aptos"/>
                <w:sz w:val="16"/>
              </w:rPr>
              <w:t>4 business hours</w:t>
            </w:r>
          </w:p>
        </w:tc>
        <w:tc>
          <w:tcPr>
            <w:tcW w:type="dxa" w:w="2033"/>
            <w:vAlign w:val="center"/>
          </w:tcPr>
          <w:p>
            <w:pPr>
              <w:spacing w:after="30"/>
            </w:pPr>
            <w:r>
              <w:rPr>
                <w:rFonts w:ascii="Aptos" w:hAnsi="Aptos"/>
                <w:sz w:val="16"/>
              </w:rPr>
              <w:t>Daily</w:t>
            </w:r>
          </w:p>
        </w:tc>
        <w:tc>
          <w:tcPr>
            <w:tcW w:type="dxa" w:w="2033"/>
            <w:vAlign w:val="center"/>
          </w:tcPr>
          <w:p>
            <w:pPr>
              <w:spacing w:after="30"/>
            </w:pPr>
            <w:r>
              <w:rPr>
                <w:rFonts w:ascii="Aptos" w:hAnsi="Aptos"/>
                <w:sz w:val="16"/>
              </w:rPr>
              <w:t>Priority correction or workaround</w:t>
            </w:r>
          </w:p>
        </w:tc>
      </w:tr>
      <w:tr>
        <w:tc>
          <w:tcPr>
            <w:tcW w:type="dxa" w:w="2033"/>
            <w:vAlign w:val="center"/>
          </w:tcPr>
          <w:p>
            <w:pPr>
              <w:spacing w:after="30"/>
            </w:pPr>
            <w:r>
              <w:rPr>
                <w:rFonts w:ascii="Aptos" w:hAnsi="Aptos"/>
                <w:sz w:val="16"/>
              </w:rPr>
              <w:t>S3 Medium</w:t>
            </w:r>
          </w:p>
        </w:tc>
        <w:tc>
          <w:tcPr>
            <w:tcW w:type="dxa" w:w="2033"/>
            <w:vAlign w:val="center"/>
          </w:tcPr>
          <w:p>
            <w:pPr>
              <w:spacing w:after="30"/>
            </w:pPr>
            <w:r>
              <w:rPr>
                <w:rFonts w:ascii="Aptos" w:hAnsi="Aptos"/>
                <w:sz w:val="16"/>
              </w:rPr>
              <w:t>Function impaired; workaround available</w:t>
            </w:r>
          </w:p>
        </w:tc>
        <w:tc>
          <w:tcPr>
            <w:tcW w:type="dxa" w:w="2033"/>
            <w:vAlign w:val="center"/>
          </w:tcPr>
          <w:p>
            <w:pPr>
              <w:spacing w:after="30"/>
            </w:pPr>
            <w:r>
              <w:rPr>
                <w:rFonts w:ascii="Aptos" w:hAnsi="Aptos"/>
                <w:sz w:val="16"/>
              </w:rPr>
              <w:t>1 Business Day</w:t>
            </w:r>
          </w:p>
        </w:tc>
        <w:tc>
          <w:tcPr>
            <w:tcW w:type="dxa" w:w="2033"/>
            <w:vAlign w:val="center"/>
          </w:tcPr>
          <w:p>
            <w:pPr>
              <w:spacing w:after="30"/>
            </w:pPr>
            <w:r>
              <w:rPr>
                <w:rFonts w:ascii="Aptos" w:hAnsi="Aptos"/>
                <w:sz w:val="16"/>
              </w:rPr>
              <w:t>As appropriate</w:t>
            </w:r>
          </w:p>
        </w:tc>
        <w:tc>
          <w:tcPr>
            <w:tcW w:type="dxa" w:w="2033"/>
            <w:vAlign w:val="center"/>
          </w:tcPr>
          <w:p>
            <w:pPr>
              <w:spacing w:after="30"/>
            </w:pPr>
            <w:r>
              <w:rPr>
                <w:rFonts w:ascii="Aptos" w:hAnsi="Aptos"/>
                <w:sz w:val="16"/>
              </w:rPr>
              <w:t>Planned correction</w:t>
            </w:r>
          </w:p>
        </w:tc>
      </w:tr>
      <w:tr>
        <w:tc>
          <w:tcPr>
            <w:tcW w:type="dxa" w:w="2033"/>
            <w:vAlign w:val="center"/>
          </w:tcPr>
          <w:p>
            <w:pPr>
              <w:spacing w:after="30"/>
            </w:pPr>
            <w:r>
              <w:rPr>
                <w:rFonts w:ascii="Aptos" w:hAnsi="Aptos"/>
                <w:sz w:val="16"/>
              </w:rPr>
              <w:t>S4 Low</w:t>
            </w:r>
          </w:p>
        </w:tc>
        <w:tc>
          <w:tcPr>
            <w:tcW w:type="dxa" w:w="2033"/>
            <w:vAlign w:val="center"/>
          </w:tcPr>
          <w:p>
            <w:pPr>
              <w:spacing w:after="30"/>
            </w:pPr>
            <w:r>
              <w:rPr>
                <w:rFonts w:ascii="Aptos" w:hAnsi="Aptos"/>
                <w:sz w:val="16"/>
              </w:rPr>
              <w:t>Question, cosmetic issue, feature request</w:t>
            </w:r>
          </w:p>
        </w:tc>
        <w:tc>
          <w:tcPr>
            <w:tcW w:type="dxa" w:w="2033"/>
            <w:vAlign w:val="center"/>
          </w:tcPr>
          <w:p>
            <w:pPr>
              <w:spacing w:after="30"/>
            </w:pPr>
            <w:r>
              <w:rPr>
                <w:rFonts w:ascii="Aptos" w:hAnsi="Aptos"/>
                <w:sz w:val="16"/>
              </w:rPr>
              <w:t>2 Business Days</w:t>
            </w:r>
          </w:p>
        </w:tc>
        <w:tc>
          <w:tcPr>
            <w:tcW w:type="dxa" w:w="2033"/>
            <w:vAlign w:val="center"/>
          </w:tcPr>
          <w:p>
            <w:pPr>
              <w:spacing w:after="30"/>
            </w:pPr>
            <w:r>
              <w:rPr>
                <w:rFonts w:ascii="Aptos" w:hAnsi="Aptos"/>
                <w:sz w:val="16"/>
              </w:rPr>
              <w:t>As appropriate</w:t>
            </w:r>
          </w:p>
        </w:tc>
        <w:tc>
          <w:tcPr>
            <w:tcW w:type="dxa" w:w="2033"/>
            <w:vAlign w:val="center"/>
          </w:tcPr>
          <w:p>
            <w:pPr>
              <w:spacing w:after="30"/>
            </w:pPr>
            <w:r>
              <w:rPr>
                <w:rFonts w:ascii="Aptos" w:hAnsi="Aptos"/>
                <w:sz w:val="16"/>
              </w:rPr>
              <w:t>Guidance or roadmap review</w:t>
            </w:r>
          </w:p>
        </w:tc>
      </w:tr>
    </w:tbl>
    <w:p>
      <w:pPr>
        <w:pStyle w:val="Clause"/>
        <w:keepLines/>
      </w:pPr>
      <w:r>
        <w:t>Response and update targets are objectives, not guaranteed resolution times. Severity may be reclassified after diagnosis. Client must provide reproducible information, screenshots/logs where lawful, and reasonable access.</w:t>
      </w:r>
    </w:p>
    <w:p>
      <w:pPr>
        <w:pStyle w:val="Heading2"/>
      </w:pPr>
      <w:r>
        <w:t>4. Service Credits</w:t>
      </w:r>
    </w:p>
    <w:p>
      <w:pPr>
        <w:pStyle w:val="Clause"/>
        <w:keepLines/>
      </w:pPr>
      <w:r>
        <w:t>If monthly availability falls below 99.5% and the Client submits a documented claim within fifteen (15) days after the month, the Client may receive a credit equal to: 5% of the affected monthly subscription value for availability below 99.5% but at least 99.0%; 10% below 99.0% but at least 98.0%; and 15% below 98.0%. Credits are the sole remedy for availability shortfall, cannot exceed 15% for a month, and apply only against future invoices. No cash refunds are provided.</w:t>
      </w:r>
    </w:p>
    <w:p>
      <w:pPr>
        <w:pStyle w:val="Heading2"/>
      </w:pPr>
      <w:r>
        <w:t>5. Support Exclusions</w:t>
      </w:r>
    </w:p>
    <w:p>
      <w:pPr>
        <w:pStyle w:val="ListBullet"/>
        <w:spacing w:after="40"/>
      </w:pPr>
      <w:r>
        <w:t>Training requests, new workflows, reports, migration and customisation.</w:t>
      </w:r>
    </w:p>
    <w:p>
      <w:pPr>
        <w:pStyle w:val="ListBullet"/>
        <w:spacing w:after="40"/>
      </w:pPr>
      <w:r>
        <w:t>Issues caused by unsupported devices, Client network, credentials or data.</w:t>
      </w:r>
    </w:p>
    <w:p>
      <w:pPr>
        <w:pStyle w:val="ListBullet"/>
        <w:spacing w:after="40"/>
      </w:pPr>
      <w:r>
        <w:t>Third-Party Service failures.</w:t>
      </w:r>
    </w:p>
    <w:p>
      <w:pPr>
        <w:pStyle w:val="ListBullet"/>
        <w:spacing w:after="40"/>
      </w:pPr>
      <w:r>
        <w:t>Correction of Tally/accounting data or statutory records.</w:t>
      </w:r>
    </w:p>
    <w:p>
      <w:pPr>
        <w:pStyle w:val="ListBullet"/>
        <w:spacing w:after="40"/>
      </w:pPr>
      <w:r>
        <w:t>Onsite support unless purchased.</w:t>
      </w:r>
    </w:p>
    <w:p>
      <w:r>
        <w:br w:type="page"/>
      </w:r>
    </w:p>
    <w:tbl>
      <w:tblPr>
        <w:tblW w:type="auto" w:w="0"/>
        <w:jc w:val="center"/>
        <w:tblLayout w:type="autofit"/>
        <w:tblLook w:firstColumn="1" w:firstRow="1" w:lastColumn="0" w:lastRow="0" w:noHBand="0" w:noVBand="1" w:val="04A0"/>
      </w:tblPr>
      <w:tblGrid>
        <w:gridCol w:w="10166"/>
      </w:tblGrid>
      <w:tr>
        <w:tc>
          <w:tcPr>
            <w:tcW w:type="dxa" w:w="10166"/>
            <w:shd w:fill="0B1F33"/>
            <w:tcMar>
              <w:top w:w="300" w:type="dxa"/>
              <w:start w:w="300" w:type="dxa"/>
              <w:bottom w:w="300" w:type="dxa"/>
              <w:end w:w="300" w:type="dxa"/>
            </w:tcMar>
            <w:vAlign w:val="center"/>
          </w:tcPr>
          <w:p>
            <w:pPr>
              <w:spacing w:after="30"/>
              <w:jc w:val="center"/>
            </w:pPr>
            <w:r>
              <w:rPr>
                <w:rFonts w:ascii="Aptos" w:hAnsi="Aptos"/>
                <w:b/>
                <w:color w:val="FFFFFF"/>
                <w:sz w:val="16"/>
              </w:rPr>
              <w:t>SCHEDULE 6</w:t>
              <w:br/>
              <w:t>ACCEPTABLE USE POLICY</w:t>
            </w:r>
          </w:p>
          <w:p>
            <w:pPr>
              <w:spacing w:after="30"/>
              <w:jc w:val="center"/>
            </w:pPr>
            <w:r>
              <w:rPr>
                <w:rFonts w:ascii="Aptos" w:hAnsi="Aptos"/>
                <w:color w:val="FED7AA"/>
                <w:sz w:val="16"/>
              </w:rPr>
              <w:t>Permitted and prohibited use of Bizzomation.</w:t>
            </w:r>
          </w:p>
        </w:tc>
      </w:tr>
    </w:tbl>
    <w:p>
      <w:pPr>
        <w:pStyle w:val="Heading2"/>
      </w:pPr>
      <w:r>
        <w:t>1. Permitted Use</w:t>
      </w:r>
    </w:p>
    <w:p>
      <w:pPr>
        <w:pStyle w:val="Clause"/>
        <w:keepLines/>
      </w:pPr>
      <w:r>
        <w:t>The Services may be used only for lawful internal business operations within purchased limits and in accordance with Documentation, privacy notices, employee policies and the Client’s legal authority.</w:t>
      </w:r>
    </w:p>
    <w:p>
      <w:pPr>
        <w:pStyle w:val="Heading2"/>
      </w:pPr>
      <w:r>
        <w:t>2. Prohibited Content and Conduct</w:t>
      </w:r>
    </w:p>
    <w:p>
      <w:pPr>
        <w:pStyle w:val="ListBullet"/>
        <w:spacing w:after="40"/>
      </w:pPr>
      <w:r>
        <w:t>Illegal, fraudulent, deceptive, defamatory, obscene, discriminatory or infringing content.</w:t>
      </w:r>
    </w:p>
    <w:p>
      <w:pPr>
        <w:pStyle w:val="ListBullet"/>
        <w:spacing w:after="40"/>
      </w:pPr>
      <w:r>
        <w:t>Unlawful surveillance, covert monitoring or collection of data without authority.</w:t>
      </w:r>
    </w:p>
    <w:p>
      <w:pPr>
        <w:pStyle w:val="ListBullet"/>
        <w:spacing w:after="40"/>
      </w:pPr>
      <w:r>
        <w:t>Malware, ransomware, harmful code, denial-of-service activity or attempts to impair systems.</w:t>
      </w:r>
    </w:p>
    <w:p>
      <w:pPr>
        <w:pStyle w:val="ListBullet"/>
        <w:spacing w:after="40"/>
      </w:pPr>
      <w:r>
        <w:t>Credential sharing, impersonation, unauthorised access or circumvention of controls.</w:t>
      </w:r>
    </w:p>
    <w:p>
      <w:pPr>
        <w:pStyle w:val="ListBullet"/>
        <w:spacing w:after="40"/>
      </w:pPr>
      <w:r>
        <w:t>Bulk unsolicited messages or communication violating provider policies or applicable law.</w:t>
      </w:r>
    </w:p>
    <w:p>
      <w:pPr>
        <w:pStyle w:val="ListBullet"/>
        <w:spacing w:after="40"/>
      </w:pPr>
      <w:r>
        <w:t>Processing of data subject to special regulation without agreed safeguards and written approval.</w:t>
      </w:r>
    </w:p>
    <w:p>
      <w:pPr>
        <w:pStyle w:val="ListBullet"/>
        <w:spacing w:after="40"/>
      </w:pPr>
      <w:r>
        <w:t>Automated extraction, scraping or high-volume API use outside agreed limits.</w:t>
      </w:r>
    </w:p>
    <w:p>
      <w:pPr>
        <w:pStyle w:val="ListBullet"/>
        <w:spacing w:after="40"/>
      </w:pPr>
      <w:r>
        <w:t>Use of scores or analytics as the sole basis for adverse employment decisions without human review.</w:t>
      </w:r>
    </w:p>
    <w:p>
      <w:pPr>
        <w:pStyle w:val="Heading2"/>
      </w:pPr>
      <w:r>
        <w:t>3. Enforcement</w:t>
      </w:r>
    </w:p>
    <w:p>
      <w:pPr>
        <w:pStyle w:val="Clause"/>
        <w:keepLines/>
      </w:pPr>
      <w:r>
        <w:t>Finwell may investigate credible misuse, request corrective action, preserve evidence, remove unlawful content where legally permitted, suspend affected access, or notify authorities where required. Finwell will act proportionately and, where safe, give notice and an opportunity to cure.</w:t>
      </w:r>
    </w:p>
    <w:p>
      <w:r>
        <w:br w:type="page"/>
      </w:r>
    </w:p>
    <w:tbl>
      <w:tblPr>
        <w:tblW w:type="auto" w:w="0"/>
        <w:jc w:val="center"/>
        <w:tblLayout w:type="autofit"/>
        <w:tblLook w:firstColumn="1" w:firstRow="1" w:lastColumn="0" w:lastRow="0" w:noHBand="0" w:noVBand="1" w:val="04A0"/>
      </w:tblPr>
      <w:tblGrid>
        <w:gridCol w:w="10166"/>
      </w:tblGrid>
      <w:tr>
        <w:tc>
          <w:tcPr>
            <w:tcW w:type="dxa" w:w="10166"/>
            <w:shd w:fill="0B1F33"/>
            <w:tcMar>
              <w:top w:w="300" w:type="dxa"/>
              <w:start w:w="300" w:type="dxa"/>
              <w:bottom w:w="300" w:type="dxa"/>
              <w:end w:w="300" w:type="dxa"/>
            </w:tcMar>
            <w:vAlign w:val="center"/>
          </w:tcPr>
          <w:p>
            <w:pPr>
              <w:spacing w:after="30"/>
              <w:jc w:val="center"/>
            </w:pPr>
            <w:r>
              <w:rPr>
                <w:rFonts w:ascii="Aptos" w:hAnsi="Aptos"/>
                <w:b/>
                <w:color w:val="FFFFFF"/>
                <w:sz w:val="16"/>
              </w:rPr>
              <w:t>SCHEDULE 7</w:t>
              <w:br/>
              <w:t>THIRD-PARTY SERVICES AND SUBPROCESSORS</w:t>
            </w:r>
          </w:p>
          <w:p>
            <w:pPr>
              <w:spacing w:after="30"/>
              <w:jc w:val="center"/>
            </w:pPr>
            <w:r>
              <w:rPr>
                <w:rFonts w:ascii="Aptos" w:hAnsi="Aptos"/>
                <w:color w:val="FED7AA"/>
                <w:sz w:val="16"/>
              </w:rPr>
              <w:t>To be completed and maintained for the production environment.</w:t>
            </w:r>
          </w:p>
        </w:tc>
      </w:tr>
    </w:tbl>
    <w:p>
      <w:pPr>
        <w:pStyle w:val="Heading2"/>
      </w:pPr>
      <w:r>
        <w:t>1. Approved Categories</w:t>
      </w:r>
    </w:p>
    <w:tbl>
      <w:tblPr>
        <w:tblStyle w:val="TableGrid"/>
        <w:tblW w:type="auto" w:w="0"/>
        <w:tblLayout w:type="autofit"/>
        <w:tblLook w:firstColumn="1" w:firstRow="1" w:lastColumn="0" w:lastRow="0" w:noHBand="0" w:noVBand="1" w:val="04A0"/>
      </w:tblPr>
      <w:tblGrid>
        <w:gridCol w:w="2033"/>
        <w:gridCol w:w="2033"/>
        <w:gridCol w:w="2033"/>
        <w:gridCol w:w="2033"/>
        <w:gridCol w:w="2033"/>
      </w:tblGrid>
      <w:tr>
        <w:tc>
          <w:tcPr>
            <w:tcW w:type="dxa" w:w="2033"/>
            <w:shd w:fill="0B1F33"/>
            <w:vAlign w:val="center"/>
          </w:tcPr>
          <w:p>
            <w:pPr>
              <w:spacing w:after="30"/>
            </w:pPr>
            <w:r>
              <w:rPr>
                <w:rFonts w:ascii="Aptos" w:hAnsi="Aptos"/>
                <w:color w:val="FFFFFF"/>
                <w:sz w:val="16"/>
              </w:rPr>
              <w:t>Provider / Category</w:t>
            </w:r>
          </w:p>
        </w:tc>
        <w:tc>
          <w:tcPr>
            <w:tcW w:type="dxa" w:w="2033"/>
            <w:shd w:fill="0B1F33"/>
            <w:vAlign w:val="center"/>
          </w:tcPr>
          <w:p>
            <w:pPr>
              <w:spacing w:after="30"/>
            </w:pPr>
            <w:r>
              <w:rPr>
                <w:rFonts w:ascii="Aptos" w:hAnsi="Aptos"/>
                <w:color w:val="FFFFFF"/>
                <w:sz w:val="16"/>
              </w:rPr>
              <w:t>Purpose</w:t>
            </w:r>
          </w:p>
        </w:tc>
        <w:tc>
          <w:tcPr>
            <w:tcW w:type="dxa" w:w="2033"/>
            <w:shd w:fill="0B1F33"/>
            <w:vAlign w:val="center"/>
          </w:tcPr>
          <w:p>
            <w:pPr>
              <w:spacing w:after="30"/>
            </w:pPr>
            <w:r>
              <w:rPr>
                <w:rFonts w:ascii="Aptos" w:hAnsi="Aptos"/>
                <w:color w:val="FFFFFF"/>
                <w:sz w:val="16"/>
              </w:rPr>
              <w:t>Data / Access</w:t>
            </w:r>
          </w:p>
        </w:tc>
        <w:tc>
          <w:tcPr>
            <w:tcW w:type="dxa" w:w="2033"/>
            <w:shd w:fill="0B1F33"/>
            <w:vAlign w:val="center"/>
          </w:tcPr>
          <w:p>
            <w:pPr>
              <w:spacing w:after="30"/>
            </w:pPr>
            <w:r>
              <w:rPr>
                <w:rFonts w:ascii="Aptos" w:hAnsi="Aptos"/>
                <w:color w:val="FFFFFF"/>
                <w:sz w:val="16"/>
              </w:rPr>
              <w:t>Location</w:t>
            </w:r>
          </w:p>
        </w:tc>
        <w:tc>
          <w:tcPr>
            <w:tcW w:type="dxa" w:w="2033"/>
            <w:shd w:fill="0B1F33"/>
            <w:vAlign w:val="center"/>
          </w:tcPr>
          <w:p>
            <w:pPr>
              <w:spacing w:after="30"/>
            </w:pPr>
            <w:r>
              <w:rPr>
                <w:rFonts w:ascii="Aptos" w:hAnsi="Aptos"/>
                <w:color w:val="FFFFFF"/>
                <w:sz w:val="16"/>
              </w:rPr>
              <w:t>Client Action</w:t>
            </w:r>
          </w:p>
        </w:tc>
      </w:tr>
      <w:tr>
        <w:tc>
          <w:tcPr>
            <w:tcW w:type="dxa" w:w="2033"/>
            <w:vAlign w:val="center"/>
          </w:tcPr>
          <w:p>
            <w:pPr>
              <w:spacing w:after="30"/>
            </w:pPr>
            <w:r>
              <w:rPr>
                <w:rFonts w:ascii="Aptos" w:hAnsi="Aptos"/>
                <w:sz w:val="16"/>
              </w:rPr>
              <w:t>[Cloud/VPS provider to be confirmed]</w:t>
            </w:r>
          </w:p>
        </w:tc>
        <w:tc>
          <w:tcPr>
            <w:tcW w:type="dxa" w:w="2033"/>
            <w:vAlign w:val="center"/>
          </w:tcPr>
          <w:p>
            <w:pPr>
              <w:spacing w:after="30"/>
            </w:pPr>
            <w:r>
              <w:rPr>
                <w:rFonts w:ascii="Aptos" w:hAnsi="Aptos"/>
                <w:sz w:val="16"/>
              </w:rPr>
              <w:t>Hosting, storage, backup</w:t>
            </w:r>
          </w:p>
        </w:tc>
        <w:tc>
          <w:tcPr>
            <w:tcW w:type="dxa" w:w="2033"/>
            <w:vAlign w:val="center"/>
          </w:tcPr>
          <w:p>
            <w:pPr>
              <w:spacing w:after="30"/>
            </w:pPr>
            <w:r>
              <w:rPr>
                <w:rFonts w:ascii="Aptos" w:hAnsi="Aptos"/>
                <w:sz w:val="16"/>
              </w:rPr>
              <w:t>Customer Data and logs</w:t>
            </w:r>
          </w:p>
        </w:tc>
        <w:tc>
          <w:tcPr>
            <w:tcW w:type="dxa" w:w="2033"/>
            <w:vAlign w:val="center"/>
          </w:tcPr>
          <w:p>
            <w:pPr>
              <w:spacing w:after="30"/>
            </w:pPr>
            <w:r>
              <w:rPr>
                <w:rFonts w:ascii="Aptos" w:hAnsi="Aptos"/>
                <w:sz w:val="16"/>
              </w:rPr>
              <w:t>India</w:t>
            </w:r>
          </w:p>
        </w:tc>
        <w:tc>
          <w:tcPr>
            <w:tcW w:type="dxa" w:w="2033"/>
            <w:vAlign w:val="center"/>
          </w:tcPr>
          <w:p>
            <w:pPr>
              <w:spacing w:after="30"/>
            </w:pPr>
            <w:r>
              <w:rPr>
                <w:rFonts w:ascii="Aptos" w:hAnsi="Aptos"/>
                <w:sz w:val="16"/>
              </w:rPr>
              <w:t>General authorisation</w:t>
            </w:r>
          </w:p>
        </w:tc>
      </w:tr>
      <w:tr>
        <w:tc>
          <w:tcPr>
            <w:tcW w:type="dxa" w:w="2033"/>
            <w:vAlign w:val="center"/>
          </w:tcPr>
          <w:p>
            <w:pPr>
              <w:spacing w:after="30"/>
            </w:pPr>
            <w:r>
              <w:rPr>
                <w:rFonts w:ascii="Aptos" w:hAnsi="Aptos"/>
                <w:sz w:val="16"/>
              </w:rPr>
              <w:t>[Email provider to be confirmed]</w:t>
            </w:r>
          </w:p>
        </w:tc>
        <w:tc>
          <w:tcPr>
            <w:tcW w:type="dxa" w:w="2033"/>
            <w:vAlign w:val="center"/>
          </w:tcPr>
          <w:p>
            <w:pPr>
              <w:spacing w:after="30"/>
            </w:pPr>
            <w:r>
              <w:rPr>
                <w:rFonts w:ascii="Aptos" w:hAnsi="Aptos"/>
                <w:sz w:val="16"/>
              </w:rPr>
              <w:t>Transactional email</w:t>
            </w:r>
          </w:p>
        </w:tc>
        <w:tc>
          <w:tcPr>
            <w:tcW w:type="dxa" w:w="2033"/>
            <w:vAlign w:val="center"/>
          </w:tcPr>
          <w:p>
            <w:pPr>
              <w:spacing w:after="30"/>
            </w:pPr>
            <w:r>
              <w:rPr>
                <w:rFonts w:ascii="Aptos" w:hAnsi="Aptos"/>
                <w:sz w:val="16"/>
              </w:rPr>
              <w:t>Contact, notification content</w:t>
            </w:r>
          </w:p>
        </w:tc>
        <w:tc>
          <w:tcPr>
            <w:tcW w:type="dxa" w:w="2033"/>
            <w:vAlign w:val="center"/>
          </w:tcPr>
          <w:p>
            <w:pPr>
              <w:spacing w:after="30"/>
            </w:pPr>
            <w:r>
              <w:rPr>
                <w:rFonts w:ascii="Aptos" w:hAnsi="Aptos"/>
                <w:sz w:val="16"/>
              </w:rPr>
              <w:t>[●]</w:t>
            </w:r>
          </w:p>
        </w:tc>
        <w:tc>
          <w:tcPr>
            <w:tcW w:type="dxa" w:w="2033"/>
            <w:vAlign w:val="center"/>
          </w:tcPr>
          <w:p>
            <w:pPr>
              <w:spacing w:after="30"/>
            </w:pPr>
            <w:r>
              <w:rPr>
                <w:rFonts w:ascii="Aptos" w:hAnsi="Aptos"/>
                <w:sz w:val="16"/>
              </w:rPr>
              <w:t>Enablement</w:t>
            </w:r>
          </w:p>
        </w:tc>
      </w:tr>
      <w:tr>
        <w:tc>
          <w:tcPr>
            <w:tcW w:type="dxa" w:w="2033"/>
            <w:vAlign w:val="center"/>
          </w:tcPr>
          <w:p>
            <w:pPr>
              <w:spacing w:after="30"/>
            </w:pPr>
            <w:r>
              <w:rPr>
                <w:rFonts w:ascii="Aptos" w:hAnsi="Aptos"/>
                <w:sz w:val="16"/>
              </w:rPr>
              <w:t>[Only if enabled]</w:t>
            </w:r>
          </w:p>
        </w:tc>
        <w:tc>
          <w:tcPr>
            <w:tcW w:type="dxa" w:w="2033"/>
            <w:vAlign w:val="center"/>
          </w:tcPr>
          <w:p>
            <w:pPr>
              <w:spacing w:after="30"/>
            </w:pPr>
            <w:r>
              <w:rPr>
                <w:rFonts w:ascii="Aptos" w:hAnsi="Aptos"/>
                <w:sz w:val="16"/>
              </w:rPr>
              <w:t>Messaging integration</w:t>
            </w:r>
          </w:p>
        </w:tc>
        <w:tc>
          <w:tcPr>
            <w:tcW w:type="dxa" w:w="2033"/>
            <w:vAlign w:val="center"/>
          </w:tcPr>
          <w:p>
            <w:pPr>
              <w:spacing w:after="30"/>
            </w:pPr>
            <w:r>
              <w:rPr>
                <w:rFonts w:ascii="Aptos" w:hAnsi="Aptos"/>
                <w:sz w:val="16"/>
              </w:rPr>
              <w:t>Contact and message metadata/content</w:t>
            </w:r>
          </w:p>
        </w:tc>
        <w:tc>
          <w:tcPr>
            <w:tcW w:type="dxa" w:w="2033"/>
            <w:vAlign w:val="center"/>
          </w:tcPr>
          <w:p>
            <w:pPr>
              <w:spacing w:after="30"/>
            </w:pPr>
            <w:r>
              <w:rPr>
                <w:rFonts w:ascii="Aptos" w:hAnsi="Aptos"/>
                <w:sz w:val="16"/>
              </w:rPr>
              <w:t>[●]</w:t>
            </w:r>
          </w:p>
        </w:tc>
        <w:tc>
          <w:tcPr>
            <w:tcW w:type="dxa" w:w="2033"/>
            <w:vAlign w:val="center"/>
          </w:tcPr>
          <w:p>
            <w:pPr>
              <w:spacing w:after="30"/>
            </w:pPr>
            <w:r>
              <w:rPr>
                <w:rFonts w:ascii="Aptos" w:hAnsi="Aptos"/>
                <w:sz w:val="16"/>
              </w:rPr>
              <w:t>Separate provider account/terms</w:t>
            </w:r>
          </w:p>
        </w:tc>
      </w:tr>
      <w:tr>
        <w:tc>
          <w:tcPr>
            <w:tcW w:type="dxa" w:w="2033"/>
            <w:vAlign w:val="center"/>
          </w:tcPr>
          <w:p>
            <w:pPr>
              <w:spacing w:after="30"/>
            </w:pPr>
            <w:r>
              <w:rPr>
                <w:rFonts w:ascii="Aptos" w:hAnsi="Aptos"/>
                <w:sz w:val="16"/>
              </w:rPr>
              <w:t>[Only if enabled]</w:t>
            </w:r>
          </w:p>
        </w:tc>
        <w:tc>
          <w:tcPr>
            <w:tcW w:type="dxa" w:w="2033"/>
            <w:vAlign w:val="center"/>
          </w:tcPr>
          <w:p>
            <w:pPr>
              <w:spacing w:after="30"/>
            </w:pPr>
            <w:r>
              <w:rPr>
                <w:rFonts w:ascii="Aptos" w:hAnsi="Aptos"/>
                <w:sz w:val="16"/>
              </w:rPr>
              <w:t>Meeting integration</w:t>
            </w:r>
          </w:p>
        </w:tc>
        <w:tc>
          <w:tcPr>
            <w:tcW w:type="dxa" w:w="2033"/>
            <w:vAlign w:val="center"/>
          </w:tcPr>
          <w:p>
            <w:pPr>
              <w:spacing w:after="30"/>
            </w:pPr>
            <w:r>
              <w:rPr>
                <w:rFonts w:ascii="Aptos" w:hAnsi="Aptos"/>
                <w:sz w:val="16"/>
              </w:rPr>
              <w:t>Meeting metadata and content if enabled</w:t>
            </w:r>
          </w:p>
        </w:tc>
        <w:tc>
          <w:tcPr>
            <w:tcW w:type="dxa" w:w="2033"/>
            <w:vAlign w:val="center"/>
          </w:tcPr>
          <w:p>
            <w:pPr>
              <w:spacing w:after="30"/>
            </w:pPr>
            <w:r>
              <w:rPr>
                <w:rFonts w:ascii="Aptos" w:hAnsi="Aptos"/>
                <w:sz w:val="16"/>
              </w:rPr>
              <w:t>[●]</w:t>
            </w:r>
          </w:p>
        </w:tc>
        <w:tc>
          <w:tcPr>
            <w:tcW w:type="dxa" w:w="2033"/>
            <w:vAlign w:val="center"/>
          </w:tcPr>
          <w:p>
            <w:pPr>
              <w:spacing w:after="30"/>
            </w:pPr>
            <w:r>
              <w:rPr>
                <w:rFonts w:ascii="Aptos" w:hAnsi="Aptos"/>
                <w:sz w:val="16"/>
              </w:rPr>
              <w:t>Separate subscription/consent</w:t>
            </w:r>
          </w:p>
        </w:tc>
      </w:tr>
      <w:tr>
        <w:tc>
          <w:tcPr>
            <w:tcW w:type="dxa" w:w="2033"/>
            <w:vAlign w:val="center"/>
          </w:tcPr>
          <w:p>
            <w:pPr>
              <w:spacing w:after="30"/>
            </w:pPr>
            <w:r>
              <w:rPr>
                <w:rFonts w:ascii="Aptos" w:hAnsi="Aptos"/>
                <w:sz w:val="16"/>
              </w:rPr>
              <w:t>[Only if enabled]</w:t>
            </w:r>
          </w:p>
        </w:tc>
        <w:tc>
          <w:tcPr>
            <w:tcW w:type="dxa" w:w="2033"/>
            <w:vAlign w:val="center"/>
          </w:tcPr>
          <w:p>
            <w:pPr>
              <w:spacing w:after="30"/>
            </w:pPr>
            <w:r>
              <w:rPr>
                <w:rFonts w:ascii="Aptos" w:hAnsi="Aptos"/>
                <w:sz w:val="16"/>
              </w:rPr>
              <w:t>Optional transcription/analysis</w:t>
            </w:r>
          </w:p>
        </w:tc>
        <w:tc>
          <w:tcPr>
            <w:tcW w:type="dxa" w:w="2033"/>
            <w:vAlign w:val="center"/>
          </w:tcPr>
          <w:p>
            <w:pPr>
              <w:spacing w:after="30"/>
            </w:pPr>
            <w:r>
              <w:rPr>
                <w:rFonts w:ascii="Aptos" w:hAnsi="Aptos"/>
                <w:sz w:val="16"/>
              </w:rPr>
              <w:t>Selected meeting/audio/text data</w:t>
            </w:r>
          </w:p>
        </w:tc>
        <w:tc>
          <w:tcPr>
            <w:tcW w:type="dxa" w:w="2033"/>
            <w:vAlign w:val="center"/>
          </w:tcPr>
          <w:p>
            <w:pPr>
              <w:spacing w:after="30"/>
            </w:pPr>
            <w:r>
              <w:rPr>
                <w:rFonts w:ascii="Aptos" w:hAnsi="Aptos"/>
                <w:sz w:val="16"/>
              </w:rPr>
              <w:t>[●]</w:t>
            </w:r>
          </w:p>
        </w:tc>
        <w:tc>
          <w:tcPr>
            <w:tcW w:type="dxa" w:w="2033"/>
            <w:vAlign w:val="center"/>
          </w:tcPr>
          <w:p>
            <w:pPr>
              <w:spacing w:after="30"/>
            </w:pPr>
            <w:r>
              <w:rPr>
                <w:rFonts w:ascii="Aptos" w:hAnsi="Aptos"/>
                <w:sz w:val="16"/>
              </w:rPr>
              <w:t>Express feature enablement</w:t>
            </w:r>
          </w:p>
        </w:tc>
      </w:tr>
      <w:tr>
        <w:tc>
          <w:tcPr>
            <w:tcW w:type="dxa" w:w="2033"/>
            <w:vAlign w:val="center"/>
          </w:tcPr>
          <w:p>
            <w:pPr>
              <w:spacing w:after="30"/>
            </w:pPr>
            <w:r>
              <w:rPr>
                <w:rFonts w:ascii="Aptos" w:hAnsi="Aptos"/>
                <w:sz w:val="16"/>
              </w:rPr>
              <w:t>[Monitoring provider to be confirmed]</w:t>
            </w:r>
          </w:p>
        </w:tc>
        <w:tc>
          <w:tcPr>
            <w:tcW w:type="dxa" w:w="2033"/>
            <w:vAlign w:val="center"/>
          </w:tcPr>
          <w:p>
            <w:pPr>
              <w:spacing w:after="30"/>
            </w:pPr>
            <w:r>
              <w:rPr>
                <w:rFonts w:ascii="Aptos" w:hAnsi="Aptos"/>
                <w:sz w:val="16"/>
              </w:rPr>
              <w:t>Application monitoring and support</w:t>
            </w:r>
          </w:p>
        </w:tc>
        <w:tc>
          <w:tcPr>
            <w:tcW w:type="dxa" w:w="2033"/>
            <w:vAlign w:val="center"/>
          </w:tcPr>
          <w:p>
            <w:pPr>
              <w:spacing w:after="30"/>
            </w:pPr>
            <w:r>
              <w:rPr>
                <w:rFonts w:ascii="Aptos" w:hAnsi="Aptos"/>
                <w:sz w:val="16"/>
              </w:rPr>
              <w:t>Technical logs, limited identifiers</w:t>
            </w:r>
          </w:p>
        </w:tc>
        <w:tc>
          <w:tcPr>
            <w:tcW w:type="dxa" w:w="2033"/>
            <w:vAlign w:val="center"/>
          </w:tcPr>
          <w:p>
            <w:pPr>
              <w:spacing w:after="30"/>
            </w:pPr>
            <w:r>
              <w:rPr>
                <w:rFonts w:ascii="Aptos" w:hAnsi="Aptos"/>
                <w:sz w:val="16"/>
              </w:rPr>
              <w:t>[●]</w:t>
            </w:r>
          </w:p>
        </w:tc>
        <w:tc>
          <w:tcPr>
            <w:tcW w:type="dxa" w:w="2033"/>
            <w:vAlign w:val="center"/>
          </w:tcPr>
          <w:p>
            <w:pPr>
              <w:spacing w:after="30"/>
            </w:pPr>
            <w:r>
              <w:rPr>
                <w:rFonts w:ascii="Aptos" w:hAnsi="Aptos"/>
                <w:sz w:val="16"/>
              </w:rPr>
              <w:t>General authorisation</w:t>
            </w:r>
          </w:p>
        </w:tc>
      </w:tr>
    </w:tbl>
    <w:p>
      <w:pPr>
        <w:pStyle w:val="Heading2"/>
      </w:pPr>
      <w:r>
        <w:t>2. Conditions</w:t>
      </w:r>
    </w:p>
    <w:p>
      <w:pPr>
        <w:pStyle w:val="Clause"/>
        <w:keepLines/>
      </w:pPr>
      <w:r>
        <w:t>Only enabled and required providers may receive data. Third-party terms, privacy notices, subscription and usage charges apply. The Client shall not provide production credentials through insecure channels. Finwell may update this list with materially equivalent providers subject to the DPA notice and objection process.</w:t>
      </w:r>
    </w:p>
    <w:p>
      <w:r>
        <w:br w:type="page"/>
      </w:r>
    </w:p>
    <w:tbl>
      <w:tblPr>
        <w:tblW w:type="auto" w:w="0"/>
        <w:jc w:val="center"/>
        <w:tblLayout w:type="autofit"/>
        <w:tblLook w:firstColumn="1" w:firstRow="1" w:lastColumn="0" w:lastRow="0" w:noHBand="0" w:noVBand="1" w:val="04A0"/>
      </w:tblPr>
      <w:tblGrid>
        <w:gridCol w:w="10166"/>
      </w:tblGrid>
      <w:tr>
        <w:tc>
          <w:tcPr>
            <w:tcW w:type="dxa" w:w="10166"/>
            <w:shd w:fill="0B1F33"/>
            <w:tcMar>
              <w:top w:w="300" w:type="dxa"/>
              <w:start w:w="300" w:type="dxa"/>
              <w:bottom w:w="300" w:type="dxa"/>
              <w:end w:w="300" w:type="dxa"/>
            </w:tcMar>
            <w:vAlign w:val="center"/>
          </w:tcPr>
          <w:p>
            <w:pPr>
              <w:spacing w:after="30"/>
              <w:jc w:val="center"/>
            </w:pPr>
            <w:r>
              <w:rPr>
                <w:rFonts w:ascii="Aptos" w:hAnsi="Aptos"/>
                <w:b/>
                <w:color w:val="FFFFFF"/>
                <w:sz w:val="16"/>
              </w:rPr>
              <w:t>SCHEDULE 8</w:t>
              <w:br/>
              <w:t>DATA RETURN, TRANSITION AND EXIT ASSISTANCE</w:t>
            </w:r>
          </w:p>
          <w:p>
            <w:pPr>
              <w:spacing w:after="30"/>
              <w:jc w:val="center"/>
            </w:pPr>
            <w:r>
              <w:rPr>
                <w:rFonts w:ascii="Aptos" w:hAnsi="Aptos"/>
                <w:color w:val="FED7AA"/>
                <w:sz w:val="16"/>
              </w:rPr>
              <w:t>Data export, retention, deletion and transition after expiry or termination.</w:t>
            </w:r>
          </w:p>
        </w:tc>
      </w:tr>
    </w:tbl>
    <w:p>
      <w:pPr>
        <w:pStyle w:val="Heading2"/>
      </w:pPr>
      <w:r>
        <w:t>1. Standard Export</w:t>
      </w:r>
    </w:p>
    <w:p>
      <w:pPr>
        <w:pStyle w:val="Clause"/>
        <w:keepLines/>
      </w:pPr>
      <w:r>
        <w:t>During an active paid term, the Client may export data using available standard export functions. On expiry or termination and payment of all dues, Finwell shall make a standard export of available Customer Data reasonably accessible for thirty (30) days, in the then-supported formats, unless immediate deletion is legally required or termination resulted from unlawful activity creating material risk.</w:t>
      </w:r>
    </w:p>
    <w:p>
      <w:pPr>
        <w:pStyle w:val="Heading2"/>
      </w:pPr>
      <w:r>
        <w:t>2. Transition Assistance</w:t>
      </w:r>
    </w:p>
    <w:p>
      <w:pPr>
        <w:pStyle w:val="Clause"/>
        <w:keepLines/>
      </w:pPr>
      <w:r>
        <w:t>Custom exports, transformation, migration, mapping, onsite support, new reports, third-party transfer or extended access are chargeable at Finwell’s then-current professional rates and require an agreed SOW. Finwell does not guarantee compatibility with another platform.</w:t>
      </w:r>
    </w:p>
    <w:p>
      <w:pPr>
        <w:pStyle w:val="Heading2"/>
      </w:pPr>
      <w:r>
        <w:t>3. Deletion</w:t>
      </w:r>
    </w:p>
    <w:p>
      <w:pPr>
        <w:pStyle w:val="Clause"/>
        <w:keepLines/>
      </w:pPr>
      <w:r>
        <w:t>After the export period, Finwell may delete production Customer Data. Backup copies may remain until ordinary rotation, ordinarily not exceeding [90] days, unless legal preservation is required. Retained data remains protected and is not restored except for disaster recovery, legal compliance or agreed assistance.</w:t>
      </w:r>
    </w:p>
    <w:p>
      <w:pPr>
        <w:pStyle w:val="Heading2"/>
      </w:pPr>
      <w:r>
        <w:t>4. Client Responsibilities</w:t>
      </w:r>
    </w:p>
    <w:p>
      <w:pPr>
        <w:pStyle w:val="ListBullet"/>
        <w:spacing w:after="40"/>
      </w:pPr>
      <w:r>
        <w:t>Request and verify exports before the deadline.</w:t>
      </w:r>
    </w:p>
    <w:p>
      <w:pPr>
        <w:pStyle w:val="ListBullet"/>
        <w:spacing w:after="40"/>
      </w:pPr>
      <w:r>
        <w:t>Maintain independent statutory and source records.</w:t>
      </w:r>
    </w:p>
    <w:p>
      <w:pPr>
        <w:pStyle w:val="ListBullet"/>
        <w:spacing w:after="40"/>
      </w:pPr>
      <w:r>
        <w:t>Pay outstanding amounts and transition charges.</w:t>
      </w:r>
    </w:p>
    <w:p>
      <w:pPr>
        <w:pStyle w:val="ListBullet"/>
        <w:spacing w:after="40"/>
      </w:pPr>
      <w:r>
        <w:t>Disable integrations and revoke Third-Party Service credentials.</w:t>
      </w:r>
    </w:p>
    <w:p>
      <w:pPr>
        <w:pStyle w:val="ListBullet"/>
        <w:spacing w:after="40"/>
      </w:pPr>
      <w:r>
        <w:t>Notify users and preserve records required by law.</w:t>
      </w:r>
    </w:p>
    <w:p>
      <w:pPr>
        <w:pStyle w:val="Heading2"/>
      </w:pPr>
      <w:r>
        <w:t>5. No Withholding of Data</w:t>
      </w:r>
    </w:p>
    <w:p>
      <w:pPr>
        <w:pStyle w:val="Clause"/>
        <w:keepLines/>
      </w:pPr>
      <w:r>
        <w:t>Finwell shall not intentionally withhold standard Customer Data export solely to pressure payment of genuinely disputed amounts. Finwell may condition custom assistance, continued access and non-standard exports on payment of undisputed dues and advance payment of professional charges.</w:t>
      </w:r>
    </w:p>
    <w:p>
      <w:r>
        <w:br w:type="page"/>
      </w:r>
    </w:p>
    <w:tbl>
      <w:tblPr>
        <w:tblW w:type="auto" w:w="0"/>
        <w:jc w:val="center"/>
        <w:tblLayout w:type="autofit"/>
        <w:tblLook w:firstColumn="1" w:firstRow="1" w:lastColumn="0" w:lastRow="0" w:noHBand="0" w:noVBand="1" w:val="04A0"/>
      </w:tblPr>
      <w:tblGrid>
        <w:gridCol w:w="10166"/>
      </w:tblGrid>
      <w:tr>
        <w:tc>
          <w:tcPr>
            <w:tcW w:type="dxa" w:w="10166"/>
            <w:shd w:fill="0B1F33"/>
            <w:tcMar>
              <w:top w:w="300" w:type="dxa"/>
              <w:start w:w="300" w:type="dxa"/>
              <w:bottom w:w="300" w:type="dxa"/>
              <w:end w:w="300" w:type="dxa"/>
            </w:tcMar>
            <w:vAlign w:val="center"/>
          </w:tcPr>
          <w:p>
            <w:pPr>
              <w:spacing w:after="30"/>
              <w:jc w:val="center"/>
            </w:pPr>
            <w:r>
              <w:rPr>
                <w:rFonts w:ascii="Aptos" w:hAnsi="Aptos"/>
                <w:b/>
                <w:color w:val="FFFFFF"/>
                <w:sz w:val="16"/>
              </w:rPr>
              <w:t>SCHEDULE 9</w:t>
              <w:br/>
              <w:t>EXECUTION, AUTHORISED REPRESENTATIVES AND NOTICES</w:t>
            </w:r>
          </w:p>
          <w:p>
            <w:pPr>
              <w:spacing w:after="30"/>
              <w:jc w:val="center"/>
            </w:pPr>
            <w:r>
              <w:rPr>
                <w:rFonts w:ascii="Aptos" w:hAnsi="Aptos"/>
                <w:color w:val="FED7AA"/>
                <w:sz w:val="16"/>
              </w:rPr>
              <w:t>Complete legal details and sign with applicable stamp duty.</w:t>
            </w:r>
          </w:p>
        </w:tc>
      </w:tr>
    </w:tbl>
    <w:p>
      <w:pPr>
        <w:pStyle w:val="Heading2"/>
      </w:pPr>
      <w:r>
        <w:t>1. Notice Details</w:t>
      </w:r>
    </w:p>
    <w:tbl>
      <w:tblPr>
        <w:tblStyle w:val="TableGrid"/>
        <w:tblW w:type="auto" w:w="0"/>
        <w:tblLayout w:type="autofit"/>
        <w:tblLook w:firstColumn="1" w:firstRow="1" w:lastColumn="0" w:lastRow="0" w:noHBand="0" w:noVBand="1" w:val="04A0"/>
      </w:tblPr>
      <w:tblGrid>
        <w:gridCol w:w="3389"/>
        <w:gridCol w:w="3389"/>
        <w:gridCol w:w="3389"/>
      </w:tblGrid>
      <w:tr>
        <w:tc>
          <w:tcPr>
            <w:tcW w:type="dxa" w:w="3389"/>
            <w:shd w:fill="0B1F33"/>
            <w:vAlign w:val="center"/>
          </w:tcPr>
          <w:p>
            <w:pPr>
              <w:spacing w:after="30"/>
            </w:pPr>
            <w:r>
              <w:rPr>
                <w:rFonts w:ascii="Aptos" w:hAnsi="Aptos"/>
                <w:color w:val="FFFFFF"/>
                <w:sz w:val="16"/>
              </w:rPr>
              <w:t>Party</w:t>
            </w:r>
          </w:p>
        </w:tc>
        <w:tc>
          <w:tcPr>
            <w:tcW w:type="dxa" w:w="3389"/>
            <w:shd w:fill="0B1F33"/>
            <w:vAlign w:val="center"/>
          </w:tcPr>
          <w:p>
            <w:pPr>
              <w:spacing w:after="30"/>
            </w:pPr>
            <w:r>
              <w:rPr>
                <w:rFonts w:ascii="Aptos" w:hAnsi="Aptos"/>
                <w:color w:val="FFFFFF"/>
                <w:sz w:val="16"/>
              </w:rPr>
              <w:t>Notice Address</w:t>
            </w:r>
          </w:p>
        </w:tc>
        <w:tc>
          <w:tcPr>
            <w:tcW w:type="dxa" w:w="3389"/>
            <w:shd w:fill="0B1F33"/>
            <w:vAlign w:val="center"/>
          </w:tcPr>
          <w:p>
            <w:pPr>
              <w:spacing w:after="30"/>
            </w:pPr>
            <w:r>
              <w:rPr>
                <w:rFonts w:ascii="Aptos" w:hAnsi="Aptos"/>
                <w:color w:val="FFFFFF"/>
                <w:sz w:val="16"/>
              </w:rPr>
              <w:t>Notice Email</w:t>
            </w:r>
          </w:p>
        </w:tc>
      </w:tr>
      <w:tr>
        <w:tc>
          <w:tcPr>
            <w:tcW w:type="dxa" w:w="3389"/>
            <w:vAlign w:val="center"/>
          </w:tcPr>
          <w:p>
            <w:pPr>
              <w:spacing w:after="30"/>
            </w:pPr>
            <w:r>
              <w:rPr>
                <w:rFonts w:ascii="Aptos" w:hAnsi="Aptos"/>
                <w:sz w:val="16"/>
              </w:rPr>
              <w:t>Finwell</w:t>
            </w:r>
          </w:p>
        </w:tc>
        <w:tc>
          <w:tcPr>
            <w:tcW w:type="dxa" w:w="3389"/>
            <w:vAlign w:val="center"/>
          </w:tcPr>
          <w:p>
            <w:pPr>
              <w:spacing w:after="30"/>
            </w:pPr>
            <w:r>
              <w:rPr>
                <w:rFonts w:ascii="Aptos" w:hAnsi="Aptos"/>
                <w:sz w:val="16"/>
              </w:rPr>
              <w:t>992, Basement Pashupati, DA Grand, Civil Lines, Jhansi, Jhansi, Uttar Pradesh, India</w:t>
            </w:r>
          </w:p>
        </w:tc>
        <w:tc>
          <w:tcPr>
            <w:tcW w:type="dxa" w:w="3389"/>
            <w:vAlign w:val="center"/>
          </w:tcPr>
          <w:p>
            <w:pPr>
              <w:spacing w:after="30"/>
            </w:pPr>
            <w:r>
              <w:rPr>
                <w:rFonts w:ascii="Aptos" w:hAnsi="Aptos"/>
                <w:sz w:val="16"/>
              </w:rPr>
              <w:t>info@finwellgrowth.com</w:t>
            </w:r>
          </w:p>
        </w:tc>
      </w:tr>
      <w:tr>
        <w:tc>
          <w:tcPr>
            <w:tcW w:type="dxa" w:w="3389"/>
            <w:vAlign w:val="center"/>
          </w:tcPr>
          <w:p>
            <w:pPr>
              <w:spacing w:after="30"/>
            </w:pPr>
            <w:r>
              <w:rPr>
                <w:rFonts w:ascii="Aptos" w:hAnsi="Aptos"/>
                <w:sz w:val="16"/>
              </w:rPr>
              <w:t>Client</w:t>
            </w:r>
          </w:p>
        </w:tc>
        <w:tc>
          <w:tcPr>
            <w:tcW w:type="dxa" w:w="3389"/>
            <w:vAlign w:val="center"/>
          </w:tcPr>
          <w:p>
            <w:pPr>
              <w:spacing w:after="30"/>
            </w:pPr>
            <w:r>
              <w:rPr>
                <w:rFonts w:ascii="Aptos" w:hAnsi="Aptos"/>
                <w:sz w:val="16"/>
              </w:rPr>
              <w:t>[●]</w:t>
            </w:r>
          </w:p>
        </w:tc>
        <w:tc>
          <w:tcPr>
            <w:tcW w:type="dxa" w:w="3389"/>
            <w:vAlign w:val="center"/>
          </w:tcPr>
          <w:p>
            <w:pPr>
              <w:spacing w:after="30"/>
            </w:pPr>
            <w:r>
              <w:rPr>
                <w:rFonts w:ascii="Aptos" w:hAnsi="Aptos"/>
                <w:sz w:val="16"/>
              </w:rPr>
              <w:t>[●]</w:t>
            </w:r>
          </w:p>
        </w:tc>
      </w:tr>
    </w:tbl>
    <w:p>
      <w:pPr>
        <w:pStyle w:val="Heading2"/>
      </w:pPr>
      <w:r>
        <w:t>2. Authorised Representatives</w:t>
      </w:r>
    </w:p>
    <w:tbl>
      <w:tblPr>
        <w:tblStyle w:val="TableGrid"/>
        <w:tblW w:type="auto" w:w="0"/>
        <w:tblLayout w:type="autofit"/>
        <w:tblLook w:firstColumn="1" w:firstRow="1" w:lastColumn="0" w:lastRow="0" w:noHBand="0" w:noVBand="1" w:val="04A0"/>
      </w:tblPr>
      <w:tblGrid>
        <w:gridCol w:w="2541"/>
        <w:gridCol w:w="2541"/>
        <w:gridCol w:w="2541"/>
        <w:gridCol w:w="2541"/>
      </w:tblGrid>
      <w:tr>
        <w:tc>
          <w:tcPr>
            <w:tcW w:type="dxa" w:w="2541"/>
            <w:shd w:fill="D85A1A"/>
            <w:vAlign w:val="center"/>
          </w:tcPr>
          <w:p>
            <w:pPr>
              <w:spacing w:after="30"/>
            </w:pPr>
            <w:r>
              <w:rPr>
                <w:rFonts w:ascii="Aptos" w:hAnsi="Aptos"/>
                <w:color w:val="FFFFFF"/>
                <w:sz w:val="16"/>
              </w:rPr>
              <w:t>Party</w:t>
            </w:r>
          </w:p>
        </w:tc>
        <w:tc>
          <w:tcPr>
            <w:tcW w:type="dxa" w:w="2541"/>
            <w:shd w:fill="D85A1A"/>
            <w:vAlign w:val="center"/>
          </w:tcPr>
          <w:p>
            <w:pPr>
              <w:spacing w:after="30"/>
            </w:pPr>
            <w:r>
              <w:rPr>
                <w:rFonts w:ascii="Aptos" w:hAnsi="Aptos"/>
                <w:color w:val="FFFFFF"/>
                <w:sz w:val="16"/>
              </w:rPr>
              <w:t>Name</w:t>
            </w:r>
          </w:p>
        </w:tc>
        <w:tc>
          <w:tcPr>
            <w:tcW w:type="dxa" w:w="2541"/>
            <w:shd w:fill="D85A1A"/>
            <w:vAlign w:val="center"/>
          </w:tcPr>
          <w:p>
            <w:pPr>
              <w:spacing w:after="30"/>
            </w:pPr>
            <w:r>
              <w:rPr>
                <w:rFonts w:ascii="Aptos" w:hAnsi="Aptos"/>
                <w:color w:val="FFFFFF"/>
                <w:sz w:val="16"/>
              </w:rPr>
              <w:t>Designation</w:t>
            </w:r>
          </w:p>
        </w:tc>
        <w:tc>
          <w:tcPr>
            <w:tcW w:type="dxa" w:w="2541"/>
            <w:shd w:fill="D85A1A"/>
            <w:vAlign w:val="center"/>
          </w:tcPr>
          <w:p>
            <w:pPr>
              <w:spacing w:after="30"/>
            </w:pPr>
            <w:r>
              <w:rPr>
                <w:rFonts w:ascii="Aptos" w:hAnsi="Aptos"/>
                <w:color w:val="FFFFFF"/>
                <w:sz w:val="16"/>
              </w:rPr>
              <w:t>Email</w:t>
            </w:r>
          </w:p>
        </w:tc>
      </w:tr>
      <w:tr>
        <w:tc>
          <w:tcPr>
            <w:tcW w:type="dxa" w:w="2541"/>
            <w:vAlign w:val="center"/>
          </w:tcPr>
          <w:p>
            <w:pPr>
              <w:spacing w:after="30"/>
            </w:pPr>
            <w:r>
              <w:rPr>
                <w:rFonts w:ascii="Aptos" w:hAnsi="Aptos"/>
                <w:sz w:val="16"/>
              </w:rPr>
              <w:t>Finwell</w:t>
            </w:r>
          </w:p>
        </w:tc>
        <w:tc>
          <w:tcPr>
            <w:tcW w:type="dxa" w:w="2541"/>
            <w:vAlign w:val="center"/>
          </w:tcPr>
          <w:p>
            <w:pPr>
              <w:spacing w:after="30"/>
            </w:pPr>
            <w:r>
              <w:rPr>
                <w:rFonts w:ascii="Aptos" w:hAnsi="Aptos"/>
                <w:sz w:val="16"/>
              </w:rPr>
              <w:t>[●]</w:t>
            </w:r>
          </w:p>
        </w:tc>
        <w:tc>
          <w:tcPr>
            <w:tcW w:type="dxa" w:w="2541"/>
            <w:vAlign w:val="center"/>
          </w:tcPr>
          <w:p>
            <w:pPr>
              <w:spacing w:after="30"/>
            </w:pPr>
            <w:r>
              <w:rPr>
                <w:rFonts w:ascii="Aptos" w:hAnsi="Aptos"/>
                <w:sz w:val="16"/>
              </w:rPr>
              <w:t>[●]</w:t>
            </w:r>
          </w:p>
        </w:tc>
        <w:tc>
          <w:tcPr>
            <w:tcW w:type="dxa" w:w="2541"/>
            <w:vAlign w:val="center"/>
          </w:tcPr>
          <w:p>
            <w:pPr>
              <w:spacing w:after="30"/>
            </w:pPr>
            <w:r>
              <w:rPr>
                <w:rFonts w:ascii="Aptos" w:hAnsi="Aptos"/>
                <w:sz w:val="16"/>
              </w:rPr>
              <w:t>[●]</w:t>
            </w:r>
          </w:p>
        </w:tc>
      </w:tr>
      <w:tr>
        <w:tc>
          <w:tcPr>
            <w:tcW w:type="dxa" w:w="2541"/>
            <w:vAlign w:val="center"/>
          </w:tcPr>
          <w:p>
            <w:pPr>
              <w:spacing w:after="30"/>
            </w:pPr>
            <w:r>
              <w:rPr>
                <w:rFonts w:ascii="Aptos" w:hAnsi="Aptos"/>
                <w:sz w:val="16"/>
              </w:rPr>
              <w:t>Client</w:t>
            </w:r>
          </w:p>
        </w:tc>
        <w:tc>
          <w:tcPr>
            <w:tcW w:type="dxa" w:w="2541"/>
            <w:vAlign w:val="center"/>
          </w:tcPr>
          <w:p>
            <w:pPr>
              <w:spacing w:after="30"/>
            </w:pPr>
            <w:r>
              <w:rPr>
                <w:rFonts w:ascii="Aptos" w:hAnsi="Aptos"/>
                <w:sz w:val="16"/>
              </w:rPr>
              <w:t>[●]</w:t>
            </w:r>
          </w:p>
        </w:tc>
        <w:tc>
          <w:tcPr>
            <w:tcW w:type="dxa" w:w="2541"/>
            <w:vAlign w:val="center"/>
          </w:tcPr>
          <w:p>
            <w:pPr>
              <w:spacing w:after="30"/>
            </w:pPr>
            <w:r>
              <w:rPr>
                <w:rFonts w:ascii="Aptos" w:hAnsi="Aptos"/>
                <w:sz w:val="16"/>
              </w:rPr>
              <w:t>[●]</w:t>
            </w:r>
          </w:p>
        </w:tc>
        <w:tc>
          <w:tcPr>
            <w:tcW w:type="dxa" w:w="2541"/>
            <w:vAlign w:val="center"/>
          </w:tcPr>
          <w:p>
            <w:pPr>
              <w:spacing w:after="30"/>
            </w:pPr>
            <w:r>
              <w:rPr>
                <w:rFonts w:ascii="Aptos" w:hAnsi="Aptos"/>
                <w:sz w:val="16"/>
              </w:rPr>
              <w:t>[●]</w:t>
            </w:r>
          </w:p>
        </w:tc>
      </w:tr>
    </w:tbl>
    <w:p>
      <w:pPr>
        <w:pStyle w:val="Heading2"/>
      </w:pPr>
      <w:r>
        <w:t>3. Signature</w:t>
      </w:r>
    </w:p>
    <w:p>
      <w:pPr>
        <w:pStyle w:val="Clause"/>
        <w:keepLines/>
      </w:pPr>
      <w:r>
        <w:t>IN WITNESS WHEREOF, the Parties, acting through duly authorised representatives, execute this Agreement on the Agreement Date.</w:t>
      </w:r>
    </w:p>
    <w:tbl>
      <w:tblPr>
        <w:tblStyle w:val="TableGrid"/>
        <w:tblW w:type="auto" w:w="0"/>
        <w:jc w:val="center"/>
        <w:tblLayout w:type="autofit"/>
        <w:tblLook w:firstColumn="1" w:firstRow="1" w:lastColumn="0" w:lastRow="0" w:noHBand="0" w:noVBand="1" w:val="04A0"/>
      </w:tblPr>
      <w:tblGrid>
        <w:gridCol w:w="5083"/>
        <w:gridCol w:w="5083"/>
      </w:tblGrid>
      <w:tr>
        <w:tc>
          <w:tcPr>
            <w:tcW w:type="dxa" w:w="5083"/>
            <w:tcMar>
              <w:top w:w="120" w:type="dxa"/>
              <w:start w:w="120" w:type="dxa"/>
              <w:bottom w:w="120" w:type="dxa"/>
              <w:end w:w="120" w:type="dxa"/>
            </w:tcMar>
            <w:shd w:fill="0B1F33"/>
            <w:vAlign w:val="center"/>
          </w:tcPr>
          <w:p>
            <w:pPr>
              <w:spacing w:after="30"/>
            </w:pPr>
            <w:r>
              <w:rPr>
                <w:rFonts w:ascii="Aptos" w:hAnsi="Aptos"/>
                <w:b/>
                <w:color w:val="FFFFFF"/>
                <w:sz w:val="16"/>
              </w:rPr>
              <w:t>For Finwell Growth Solutions Pvt. Ltd.</w:t>
            </w:r>
          </w:p>
        </w:tc>
        <w:tc>
          <w:tcPr>
            <w:tcW w:type="dxa" w:w="5083"/>
            <w:tcMar>
              <w:top w:w="120" w:type="dxa"/>
              <w:start w:w="120" w:type="dxa"/>
              <w:bottom w:w="120" w:type="dxa"/>
              <w:end w:w="120" w:type="dxa"/>
            </w:tcMar>
            <w:shd w:fill="0B1F33"/>
            <w:vAlign w:val="center"/>
          </w:tcPr>
          <w:p>
            <w:pPr>
              <w:spacing w:after="30"/>
            </w:pPr>
            <w:r>
              <w:rPr>
                <w:rFonts w:ascii="Aptos" w:hAnsi="Aptos"/>
                <w:b/>
                <w:color w:val="FFFFFF"/>
                <w:sz w:val="16"/>
              </w:rPr>
              <w:t>For Taxmanntri Consultancy Private Limited</w:t>
            </w:r>
          </w:p>
        </w:tc>
      </w:tr>
      <w:tr>
        <w:tc>
          <w:tcPr>
            <w:tcW w:type="dxa" w:w="5083"/>
            <w:tcMar>
              <w:top w:w="120" w:type="dxa"/>
              <w:start w:w="120" w:type="dxa"/>
              <w:bottom w:w="120" w:type="dxa"/>
              <w:end w:w="120" w:type="dxa"/>
            </w:tcMar>
            <w:vAlign w:val="center"/>
          </w:tcPr>
          <w:p>
            <w:pPr>
              <w:spacing w:after="30"/>
            </w:pPr>
            <w:r>
              <w:rPr>
                <w:rFonts w:ascii="Aptos" w:hAnsi="Aptos"/>
                <w:sz w:val="16"/>
              </w:rPr>
              <w:t>Signature: __________________________</w:t>
            </w:r>
          </w:p>
        </w:tc>
        <w:tc>
          <w:tcPr>
            <w:tcW w:type="dxa" w:w="5083"/>
            <w:tcMar>
              <w:top w:w="120" w:type="dxa"/>
              <w:start w:w="120" w:type="dxa"/>
              <w:bottom w:w="120" w:type="dxa"/>
              <w:end w:w="120" w:type="dxa"/>
            </w:tcMar>
            <w:vAlign w:val="center"/>
          </w:tcPr>
          <w:p>
            <w:pPr>
              <w:spacing w:after="30"/>
            </w:pPr>
            <w:r>
              <w:rPr>
                <w:rFonts w:ascii="Aptos" w:hAnsi="Aptos"/>
                <w:sz w:val="16"/>
              </w:rPr>
              <w:t>Signature: __________________________</w:t>
            </w:r>
          </w:p>
        </w:tc>
      </w:tr>
      <w:tr>
        <w:tc>
          <w:tcPr>
            <w:tcW w:type="dxa" w:w="5083"/>
            <w:tcMar>
              <w:top w:w="120" w:type="dxa"/>
              <w:start w:w="120" w:type="dxa"/>
              <w:bottom w:w="120" w:type="dxa"/>
              <w:end w:w="120" w:type="dxa"/>
            </w:tcMar>
            <w:vAlign w:val="center"/>
          </w:tcPr>
          <w:p>
            <w:pPr>
              <w:spacing w:after="30"/>
            </w:pPr>
            <w:r>
              <w:rPr>
                <w:rFonts w:ascii="Aptos" w:hAnsi="Aptos"/>
                <w:sz w:val="16"/>
              </w:rPr>
              <w:t>Name: CA Rachit Agarwal</w:t>
            </w:r>
          </w:p>
        </w:tc>
        <w:tc>
          <w:tcPr>
            <w:tcW w:type="dxa" w:w="5083"/>
            <w:tcMar>
              <w:top w:w="120" w:type="dxa"/>
              <w:start w:w="120" w:type="dxa"/>
              <w:bottom w:w="120" w:type="dxa"/>
              <w:end w:w="120" w:type="dxa"/>
            </w:tcMar>
            <w:vAlign w:val="center"/>
          </w:tcPr>
          <w:p>
            <w:pPr>
              <w:spacing w:after="30"/>
            </w:pPr>
            <w:r>
              <w:rPr>
                <w:rFonts w:ascii="Aptos" w:hAnsi="Aptos"/>
                <w:sz w:val="16"/>
              </w:rPr>
              <w:t>Name: CA Rachit Agarwal</w:t>
            </w:r>
          </w:p>
        </w:tc>
      </w:tr>
      <w:tr>
        <w:tc>
          <w:tcPr>
            <w:tcW w:type="dxa" w:w="5083"/>
            <w:tcMar>
              <w:top w:w="120" w:type="dxa"/>
              <w:start w:w="120" w:type="dxa"/>
              <w:bottom w:w="120" w:type="dxa"/>
              <w:end w:w="120" w:type="dxa"/>
            </w:tcMar>
            <w:vAlign w:val="center"/>
          </w:tcPr>
          <w:p>
            <w:pPr>
              <w:spacing w:after="30"/>
            </w:pPr>
            <w:r>
              <w:rPr>
                <w:rFonts w:ascii="Aptos" w:hAnsi="Aptos"/>
                <w:sz w:val="16"/>
              </w:rPr>
              <w:t>Designation: Managing Director</w:t>
            </w:r>
          </w:p>
        </w:tc>
        <w:tc>
          <w:tcPr>
            <w:tcW w:type="dxa" w:w="5083"/>
            <w:tcMar>
              <w:top w:w="120" w:type="dxa"/>
              <w:start w:w="120" w:type="dxa"/>
              <w:bottom w:w="120" w:type="dxa"/>
              <w:end w:w="120" w:type="dxa"/>
            </w:tcMar>
            <w:vAlign w:val="center"/>
          </w:tcPr>
          <w:p>
            <w:pPr>
              <w:spacing w:after="30"/>
            </w:pPr>
            <w:r>
              <w:rPr>
                <w:rFonts w:ascii="Aptos" w:hAnsi="Aptos"/>
                <w:sz w:val="16"/>
              </w:rPr>
              <w:t>Designation: Managing Director</w:t>
            </w:r>
          </w:p>
        </w:tc>
      </w:tr>
      <w:tr>
        <w:tc>
          <w:tcPr>
            <w:tcW w:type="dxa" w:w="5083"/>
            <w:tcMar>
              <w:top w:w="120" w:type="dxa"/>
              <w:start w:w="120" w:type="dxa"/>
              <w:bottom w:w="120" w:type="dxa"/>
              <w:end w:w="120" w:type="dxa"/>
            </w:tcMar>
            <w:vAlign w:val="center"/>
          </w:tcPr>
          <w:p>
            <w:pPr>
              <w:spacing w:after="30"/>
            </w:pPr>
            <w:r>
              <w:rPr>
                <w:rFonts w:ascii="Aptos" w:hAnsi="Aptos"/>
                <w:sz w:val="16"/>
              </w:rPr>
              <w:t>Date: _______________________________</w:t>
            </w:r>
          </w:p>
        </w:tc>
        <w:tc>
          <w:tcPr>
            <w:tcW w:type="dxa" w:w="5083"/>
            <w:tcMar>
              <w:top w:w="120" w:type="dxa"/>
              <w:start w:w="120" w:type="dxa"/>
              <w:bottom w:w="120" w:type="dxa"/>
              <w:end w:w="120" w:type="dxa"/>
            </w:tcMar>
            <w:vAlign w:val="center"/>
          </w:tcPr>
          <w:p>
            <w:pPr>
              <w:spacing w:after="30"/>
            </w:pPr>
            <w:r>
              <w:rPr>
                <w:rFonts w:ascii="Aptos" w:hAnsi="Aptos"/>
                <w:sz w:val="16"/>
              </w:rPr>
              <w:t>Date: _______________________________</w:t>
            </w:r>
          </w:p>
        </w:tc>
      </w:tr>
      <w:tr>
        <w:tc>
          <w:tcPr>
            <w:tcW w:type="dxa" w:w="5083"/>
            <w:tcMar>
              <w:top w:w="120" w:type="dxa"/>
              <w:start w:w="120" w:type="dxa"/>
              <w:bottom w:w="120" w:type="dxa"/>
              <w:end w:w="120" w:type="dxa"/>
            </w:tcMar>
            <w:vAlign w:val="center"/>
          </w:tcPr>
          <w:p>
            <w:pPr>
              <w:spacing w:after="30"/>
            </w:pPr>
            <w:r>
              <w:rPr>
                <w:rFonts w:ascii="Aptos" w:hAnsi="Aptos"/>
                <w:sz w:val="16"/>
              </w:rPr>
              <w:t>Place: ______________________________</w:t>
            </w:r>
          </w:p>
        </w:tc>
        <w:tc>
          <w:tcPr>
            <w:tcW w:type="dxa" w:w="5083"/>
            <w:tcMar>
              <w:top w:w="120" w:type="dxa"/>
              <w:start w:w="120" w:type="dxa"/>
              <w:bottom w:w="120" w:type="dxa"/>
              <w:end w:w="120" w:type="dxa"/>
            </w:tcMar>
            <w:vAlign w:val="center"/>
          </w:tcPr>
          <w:p>
            <w:pPr>
              <w:spacing w:after="30"/>
            </w:pPr>
            <w:r>
              <w:rPr>
                <w:rFonts w:ascii="Aptos" w:hAnsi="Aptos"/>
                <w:sz w:val="16"/>
              </w:rPr>
              <w:t>Place: ______________________________</w:t>
            </w:r>
          </w:p>
        </w:tc>
      </w:tr>
    </w:tbl>
    <w:p>
      <w:pPr>
        <w:pStyle w:val="Heading2"/>
      </w:pPr>
      <w:r>
        <w:t>4. Witnesses (if used)</w:t>
      </w:r>
    </w:p>
    <w:tbl>
      <w:tblPr>
        <w:tblStyle w:val="TableGrid"/>
        <w:tblW w:type="auto" w:w="0"/>
        <w:tblLayout w:type="autofit"/>
        <w:tblLook w:firstColumn="1" w:firstRow="1" w:lastColumn="0" w:lastRow="0" w:noHBand="0" w:noVBand="1" w:val="04A0"/>
      </w:tblPr>
      <w:tblGrid>
        <w:gridCol w:w="5083"/>
        <w:gridCol w:w="5083"/>
      </w:tblGrid>
      <w:tr>
        <w:tc>
          <w:tcPr>
            <w:tcW w:type="dxa" w:w="5083"/>
            <w:vAlign w:val="center"/>
          </w:tcPr>
          <w:p>
            <w:pPr>
              <w:spacing w:after="30"/>
            </w:pPr>
            <w:r>
              <w:rPr>
                <w:rFonts w:ascii="Aptos" w:hAnsi="Aptos"/>
                <w:sz w:val="16"/>
              </w:rPr>
              <w:t>Witness 1</w:t>
            </w:r>
          </w:p>
        </w:tc>
        <w:tc>
          <w:tcPr>
            <w:tcW w:type="dxa" w:w="5083"/>
            <w:vAlign w:val="center"/>
          </w:tcPr>
          <w:p>
            <w:pPr>
              <w:spacing w:after="30"/>
            </w:pPr>
            <w:r>
              <w:rPr>
                <w:rFonts w:ascii="Aptos" w:hAnsi="Aptos"/>
                <w:sz w:val="16"/>
              </w:rPr>
              <w:t>Witness 2</w:t>
            </w:r>
          </w:p>
        </w:tc>
      </w:tr>
      <w:tr>
        <w:tc>
          <w:tcPr>
            <w:tcW w:type="dxa" w:w="5083"/>
            <w:vAlign w:val="center"/>
          </w:tcPr>
          <w:p>
            <w:pPr>
              <w:spacing w:after="30"/>
            </w:pPr>
            <w:r>
              <w:rPr>
                <w:rFonts w:ascii="Aptos" w:hAnsi="Aptos"/>
                <w:sz w:val="16"/>
              </w:rPr>
              <w:t>Signature: __________________</w:t>
            </w:r>
          </w:p>
        </w:tc>
        <w:tc>
          <w:tcPr>
            <w:tcW w:type="dxa" w:w="5083"/>
            <w:vAlign w:val="center"/>
          </w:tcPr>
          <w:p>
            <w:pPr>
              <w:spacing w:after="30"/>
            </w:pPr>
            <w:r>
              <w:rPr>
                <w:rFonts w:ascii="Aptos" w:hAnsi="Aptos"/>
                <w:sz w:val="16"/>
              </w:rPr>
              <w:t>Signature: __________________</w:t>
            </w:r>
          </w:p>
        </w:tc>
      </w:tr>
      <w:tr>
        <w:tc>
          <w:tcPr>
            <w:tcW w:type="dxa" w:w="5083"/>
            <w:vAlign w:val="center"/>
          </w:tcPr>
          <w:p>
            <w:pPr>
              <w:spacing w:after="30"/>
            </w:pPr>
            <w:r>
              <w:rPr>
                <w:rFonts w:ascii="Aptos" w:hAnsi="Aptos"/>
                <w:sz w:val="16"/>
              </w:rPr>
              <w:t>Name: ______________________</w:t>
            </w:r>
          </w:p>
        </w:tc>
        <w:tc>
          <w:tcPr>
            <w:tcW w:type="dxa" w:w="5083"/>
            <w:vAlign w:val="center"/>
          </w:tcPr>
          <w:p>
            <w:pPr>
              <w:spacing w:after="30"/>
            </w:pPr>
            <w:r>
              <w:rPr>
                <w:rFonts w:ascii="Aptos" w:hAnsi="Aptos"/>
                <w:sz w:val="16"/>
              </w:rPr>
              <w:t>Name: ______________________</w:t>
            </w:r>
          </w:p>
        </w:tc>
      </w:tr>
      <w:tr>
        <w:tc>
          <w:tcPr>
            <w:tcW w:type="dxa" w:w="5083"/>
            <w:vAlign w:val="center"/>
          </w:tcPr>
          <w:p>
            <w:pPr>
              <w:spacing w:after="30"/>
            </w:pPr>
            <w:r>
              <w:rPr>
                <w:rFonts w:ascii="Aptos" w:hAnsi="Aptos"/>
                <w:sz w:val="16"/>
              </w:rPr>
              <w:t>Address: ___________________</w:t>
            </w:r>
          </w:p>
        </w:tc>
        <w:tc>
          <w:tcPr>
            <w:tcW w:type="dxa" w:w="5083"/>
            <w:vAlign w:val="center"/>
          </w:tcPr>
          <w:p>
            <w:pPr>
              <w:spacing w:after="30"/>
            </w:pPr>
            <w:r>
              <w:rPr>
                <w:rFonts w:ascii="Aptos" w:hAnsi="Aptos"/>
                <w:sz w:val="16"/>
              </w:rPr>
              <w:t>Address: ___________________</w:t>
            </w:r>
          </w:p>
        </w:tc>
      </w:tr>
      <w:tr>
        <w:tc>
          <w:tcPr>
            <w:tcW w:type="dxa" w:w="5083"/>
            <w:vAlign w:val="center"/>
          </w:tcPr>
          <w:p>
            <w:pPr>
              <w:spacing w:after="30"/>
            </w:pPr>
            <w:r>
              <w:rPr>
                <w:rFonts w:ascii="Aptos" w:hAnsi="Aptos"/>
                <w:sz w:val="16"/>
              </w:rPr>
              <w:t>Date: _______________________</w:t>
            </w:r>
          </w:p>
        </w:tc>
        <w:tc>
          <w:tcPr>
            <w:tcW w:type="dxa" w:w="5083"/>
            <w:vAlign w:val="center"/>
          </w:tcPr>
          <w:p>
            <w:pPr>
              <w:spacing w:after="30"/>
            </w:pPr>
            <w:r>
              <w:rPr>
                <w:rFonts w:ascii="Aptos" w:hAnsi="Aptos"/>
                <w:sz w:val="16"/>
              </w:rPr>
              <w:t>Date: _______________________</w:t>
            </w:r>
          </w:p>
        </w:tc>
      </w:tr>
    </w:tbl>
    <w:p>
      <w:r>
        <w:br w:type="page"/>
      </w:r>
    </w:p>
    <w:p>
      <w:pPr>
        <w:pStyle w:val="Heading1"/>
        <w:pBdr>
          <w:bottom w:val="single" w:sz="12" w:space="4" w:color="F97316"/>
        </w:pBdr>
      </w:pPr>
      <w:r>
        <w:t>LEGAL COMPLETION CHECKLIST — BEFORE SIGNATURE</w:t>
      </w:r>
    </w:p>
    <w:p>
      <w:pPr>
        <w:pStyle w:val="ListBullet"/>
        <w:spacing w:after="40"/>
      </w:pPr>
      <w:r>
        <w:t>Insert full legal names, CIN/LLPIN/registration numbers, GSTIN and registered addresses.</w:t>
      </w:r>
    </w:p>
    <w:p>
      <w:pPr>
        <w:pStyle w:val="ListBullet"/>
        <w:spacing w:after="40"/>
      </w:pPr>
      <w:r>
        <w:t>Confirm authorised signatories and corporate approvals.</w:t>
      </w:r>
    </w:p>
    <w:p>
      <w:pPr>
        <w:pStyle w:val="ListBullet"/>
        <w:spacing w:after="40"/>
      </w:pPr>
      <w:r>
        <w:t>Complete the Order Form, SOW, scope, Fees, implementation dates and acceptance criteria.</w:t>
      </w:r>
    </w:p>
    <w:p>
      <w:pPr>
        <w:pStyle w:val="ListBullet"/>
        <w:spacing w:after="40"/>
      </w:pPr>
      <w:r>
        <w:t>Complete the subprocessor, hosting-location and backup details based on the actual production architecture.</w:t>
      </w:r>
    </w:p>
    <w:p>
      <w:pPr>
        <w:pStyle w:val="ListBullet"/>
        <w:spacing w:after="40"/>
      </w:pPr>
      <w:r>
        <w:t>Confirm actual security controls; do not promise certifications or controls not implemented.</w:t>
      </w:r>
    </w:p>
    <w:p>
      <w:pPr>
        <w:pStyle w:val="ListBullet"/>
        <w:spacing w:after="40"/>
      </w:pPr>
      <w:r>
        <w:t>Confirm applicable stamp duty and execute accordingly.</w:t>
      </w:r>
    </w:p>
    <w:p>
      <w:pPr>
        <w:pStyle w:val="ListBullet"/>
        <w:spacing w:after="40"/>
      </w:pPr>
      <w:r>
        <w:t>For hospitals, financial institutions, schools, listed entities, government bodies or other regulated sectors, add sector-specific provisions.</w:t>
      </w:r>
    </w:p>
    <w:p>
      <w:pPr>
        <w:pStyle w:val="ListBullet"/>
        <w:spacing w:after="40"/>
      </w:pPr>
      <w:r>
        <w:t>Attach a current privacy notice and ensure the Client issues employee/client notices.</w:t>
      </w:r>
    </w:p>
    <w:p>
      <w:pPr>
        <w:pStyle w:val="ListBullet"/>
        <w:spacing w:after="40"/>
      </w:pPr>
      <w:r>
        <w:t>Confirm insurance, data residency, retention, RPO/RTO and SLA commitments for the relevant package.</w:t>
      </w:r>
    </w:p>
    <w:p>
      <w:pPr>
        <w:pStyle w:val="ListBullet"/>
        <w:spacing w:after="40"/>
      </w:pPr>
      <w:r>
        <w:t>Have Indian technology-contract counsel review the completed transaction version before first execution or any material enterprise negotiation.</w:t>
      </w:r>
    </w:p>
    <w:p>
      <w:pPr>
        <w:pStyle w:val="Clause"/>
        <w:keepLines/>
      </w:pPr>
      <w:r>
        <w:t>Reference framework used in drafting: Indian Contract Act, 1872; Information Technology Act, 2000; Digital Personal Data Protection Act, 2023 and notified rules/implementation framework; Arbitration and Conciliation Act, 1996; applicable CERT-In directions; and other applicable laws. This checklist is not part of the commercial obligations unless expressly incorporated.</w:t>
      </w:r>
    </w:p>
    <w:p>
      <w:r>
        <w:br w:type="page"/>
      </w:r>
    </w:p>
    <w:p>
      <w:pPr>
        <w:pStyle w:val="Heading1"/>
      </w:pPr>
      <w:r>
        <w:t>ANNEXURE B - CLIENT-SPECIFIC TERMS AND DECLARATIONS</w:t>
      </w:r>
    </w:p>
    <w:tbl>
      <w:tblPr>
        <w:tblStyle w:val="TableGrid"/>
        <w:tblW w:type="auto" w:w="0"/>
        <w:tblLook w:firstColumn="1" w:firstRow="1" w:lastColumn="0" w:lastRow="0" w:noHBand="0" w:noVBand="1" w:val="04A0"/>
      </w:tblPr>
      <w:tblGrid>
        <w:gridCol w:w="5083"/>
        <w:gridCol w:w="5083"/>
      </w:tblGrid>
      <w:tr>
        <w:tc>
          <w:tcPr>
            <w:tcW w:type="dxa" w:w="5083"/>
          </w:tcPr>
          <w:p>
            <w:r>
              <w:t>Field</w:t>
            </w:r>
          </w:p>
        </w:tc>
        <w:tc>
          <w:tcPr>
            <w:tcW w:type="dxa" w:w="5083"/>
          </w:tcPr>
          <w:p>
            <w:r>
              <w:t>Agreed Value</w:t>
            </w:r>
          </w:p>
        </w:tc>
      </w:tr>
      <w:tr>
        <w:tc>
          <w:tcPr>
            <w:tcW w:type="dxa" w:w="5083"/>
          </w:tcPr>
          <w:p>
            <w:r>
              <w:t>Package</w:t>
            </w:r>
          </w:p>
        </w:tc>
        <w:tc>
          <w:tcPr>
            <w:tcW w:type="dxa" w:w="5083"/>
          </w:tcPr>
          <w:p>
            <w:r>
              <w:t>Custom</w:t>
            </w:r>
          </w:p>
        </w:tc>
      </w:tr>
      <w:tr>
        <w:tc>
          <w:tcPr>
            <w:tcW w:type="dxa" w:w="5083"/>
          </w:tcPr>
          <w:p>
            <w:r>
              <w:t>Billing cycle</w:t>
            </w:r>
          </w:p>
        </w:tc>
        <w:tc>
          <w:tcPr>
            <w:tcW w:type="dxa" w:w="5083"/>
          </w:tcPr>
          <w:p>
            <w:r>
              <w:t>Monthly in advance</w:t>
            </w:r>
          </w:p>
        </w:tc>
      </w:tr>
      <w:tr>
        <w:tc>
          <w:tcPr>
            <w:tcW w:type="dxa" w:w="5083"/>
          </w:tcPr>
          <w:p>
            <w:r>
              <w:t>Payment terms</w:t>
            </w:r>
          </w:p>
        </w:tc>
        <w:tc>
          <w:tcPr>
            <w:tcW w:type="dxa" w:w="5083"/>
          </w:tcPr>
          <w:p>
            <w:r>
              <w:t>Custom</w:t>
            </w:r>
          </w:p>
        </w:tc>
      </w:tr>
      <w:tr>
        <w:tc>
          <w:tcPr>
            <w:tcW w:type="dxa" w:w="5083"/>
          </w:tcPr>
          <w:p>
            <w:r>
              <w:t>Availability target</w:t>
            </w:r>
          </w:p>
        </w:tc>
        <w:tc>
          <w:tcPr>
            <w:tcW w:type="dxa" w:w="5083"/>
          </w:tcPr>
          <w:p>
            <w:r>
              <w:t>99.0% monthly</w:t>
            </w:r>
          </w:p>
        </w:tc>
      </w:tr>
      <w:tr>
        <w:tc>
          <w:tcPr>
            <w:tcW w:type="dxa" w:w="5083"/>
          </w:tcPr>
          <w:p>
            <w:r>
              <w:t>Hosting/data location</w:t>
            </w:r>
          </w:p>
        </w:tc>
        <w:tc>
          <w:tcPr>
            <w:tcW w:type="dxa" w:w="5083"/>
          </w:tcPr>
          <w:p>
            <w:r>
              <w:t>India</w:t>
            </w:r>
          </w:p>
        </w:tc>
      </w:tr>
      <w:tr>
        <w:tc>
          <w:tcPr>
            <w:tcW w:type="dxa" w:w="5083"/>
          </w:tcPr>
          <w:p>
            <w:r>
              <w:t>Post-termination data retention</w:t>
            </w:r>
          </w:p>
        </w:tc>
        <w:tc>
          <w:tcPr>
            <w:tcW w:type="dxa" w:w="5083"/>
          </w:tcPr>
          <w:p>
            <w:r>
              <w:t>30 days after termination</w:t>
            </w:r>
          </w:p>
        </w:tc>
      </w:tr>
      <w:tr>
        <w:tc>
          <w:tcPr>
            <w:tcW w:type="dxa" w:w="5083"/>
          </w:tcPr>
          <w:p>
            <w:r>
              <w:t>Dispute resolution</w:t>
            </w:r>
          </w:p>
        </w:tc>
        <w:tc>
          <w:tcPr>
            <w:tcW w:type="dxa" w:w="5083"/>
          </w:tcPr>
          <w:p>
            <w:r>
              <w:t>Custom</w:t>
            </w:r>
          </w:p>
        </w:tc>
      </w:tr>
      <w:tr>
        <w:tc>
          <w:tcPr>
            <w:tcW w:type="dxa" w:w="5083"/>
          </w:tcPr>
          <w:p>
            <w:r>
              <w:t>Governing law</w:t>
            </w:r>
          </w:p>
        </w:tc>
        <w:tc>
          <w:tcPr>
            <w:tcW w:type="dxa" w:w="5083"/>
          </w:tcPr>
          <w:p>
            <w:r>
              <w:t>Laws of India</w:t>
            </w:r>
          </w:p>
        </w:tc>
      </w:tr>
      <w:tr>
        <w:tc>
          <w:tcPr>
            <w:tcW w:type="dxa" w:w="5083"/>
          </w:tcPr>
          <w:p>
            <w:r>
              <w:t>Client Data Fiduciary</w:t>
            </w:r>
          </w:p>
        </w:tc>
        <w:tc>
          <w:tcPr>
            <w:tcW w:type="dxa" w:w="5083"/>
          </w:tcPr>
          <w:p>
            <w:r/>
          </w:p>
        </w:tc>
      </w:tr>
      <w:tr>
        <w:tc>
          <w:tcPr>
            <w:tcW w:type="dxa" w:w="5083"/>
          </w:tcPr>
          <w:p>
            <w:r>
              <w:t>Finwell role</w:t>
            </w:r>
          </w:p>
        </w:tc>
        <w:tc>
          <w:tcPr>
            <w:tcW w:type="dxa" w:w="5083"/>
          </w:tcPr>
          <w:p>
            <w:r>
              <w:t>Data Processor for Customer Data, and independent Data Fiduciary for its own account, billing, security and legal records</w:t>
            </w:r>
          </w:p>
        </w:tc>
      </w:tr>
      <w:tr>
        <w:tc>
          <w:tcPr>
            <w:tcW w:type="dxa" w:w="5083"/>
          </w:tcPr>
          <w:p>
            <w:r>
              <w:t>Employee monitoring notice responsibility</w:t>
            </w:r>
          </w:p>
        </w:tc>
        <w:tc>
          <w:tcPr>
            <w:tcW w:type="dxa" w:w="5083"/>
          </w:tcPr>
          <w:p>
            <w:r>
              <w:t>Client</w:t>
            </w:r>
          </w:p>
        </w:tc>
      </w:tr>
      <w:tr>
        <w:tc>
          <w:tcPr>
            <w:tcW w:type="dxa" w:w="5083"/>
          </w:tcPr>
          <w:p>
            <w:r>
              <w:t>Formal valuation report included</w:t>
            </w:r>
          </w:p>
        </w:tc>
        <w:tc>
          <w:tcPr>
            <w:tcW w:type="dxa" w:w="5083"/>
          </w:tcPr>
          <w:p>
            <w:r>
              <w:t>No - indicative management valuation only</w:t>
            </w:r>
          </w:p>
        </w:tc>
      </w:tr>
    </w:tbl>
    <w:p>
      <w:r>
        <w:br w:type="page"/>
      </w:r>
    </w:p>
    <w:p>
      <w:pPr>
        <w:pStyle w:val="Heading1"/>
      </w:pPr>
      <w:r>
        <w:t>ANNEXURE A - SELECTED PRODUCT SCOPE</w:t>
      </w:r>
    </w:p>
    <w:p>
      <w:r>
        <w:t>Included features and modules:</w:t>
      </w:r>
    </w:p>
    <w:p>
      <w:r>
        <w:t>Express exclusions:</w:t>
      </w:r>
    </w:p>
    <w:p>
      <w:r>
        <w:t>Source-code transfer; unlimited custom development; third-party licence, carrier, API, AI, messaging and video charges; legal or statutory filings; formal registered valuation report unless separately engaged.</w:t>
      </w:r>
    </w:p>
    <w:sectPr w:rsidR="00FC693F" w:rsidRPr="0006063C" w:rsidSect="00034616">
      <w:headerReference w:type="default" r:id="rId9"/>
      <w:footerReference w:type="default" r:id="rId10"/>
      <w:pgSz w:w="12240" w:h="15840"/>
      <w:pgMar w:top="936" w:right="1037" w:bottom="936" w:left="1037" w:header="36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67085"/>
        <w:sz w:val="16"/>
      </w:rPr>
      <w:t xml:space="preserve">CONFIDENTIAL  |  Finwell Growth Solutions Pvt. Ltd.  |  Page </w:t>
    </w:r>
    <w:r>
      <w:rPr>
        <w:sz w:val="16"/>
      </w:rPr>
      <w:fldChar w:fldCharType="begin"/>
      <w:instrText xml:space="preserve">PAGE</w:instrText>
      <w:fldChar w:fldCharType="end"/>
    </w:r>
    <w:r>
      <w:rPr>
        <w:sz w:val="16"/>
      </w:rPr>
      <w:t xml:space="preserve"> of </w:t>
    </w:r>
    <w:r>
      <w:rPr>
        <w:sz w:val="16"/>
      </w:rPr>
      <w:fldChar w:fldCharType="begin"/>
      <w:instrText xml:space="preserve">NUMPAGES</w:instrText>
      <w:fldChar w:fldCharType="end"/>
    </w:r>
    <w:r>
      <w:rPr>
        <w:sz w:val="16"/>
      </w:rPr>
      <w:t xml:space="preserve"> | Generated through Bizzomation Agreement Portal on 2026-06-29</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tbl>
    <w:tblPr>
      <w:tblW w:type="auto" w:w="0"/>
      <w:jc w:val="center"/>
      <w:tblLook w:firstColumn="1" w:firstRow="1" w:lastColumn="0" w:lastRow="0" w:noHBand="0" w:noVBand="1" w:val="04A0"/>
    </w:tblPr>
    <w:tblGrid>
      <w:gridCol w:w="5076"/>
      <w:gridCol w:w="5076"/>
    </w:tblGrid>
    <w:tr>
      <w:tc>
        <w:tcPr>
          <w:tcW w:type="dxa" w:w="5076"/>
          <w:tcMar>
            <w:top w:w="0" w:type="dxa"/>
            <w:start w:w="0" w:type="dxa"/>
            <w:bottom w:w="0" w:type="dxa"/>
            <w:end w:w="0" w:type="dxa"/>
          </w:tcMar>
        </w:tcPr>
        <w:p>
          <w:r>
            <w:drawing>
              <wp:inline xmlns:a="http://schemas.openxmlformats.org/drawingml/2006/main" xmlns:pic="http://schemas.openxmlformats.org/drawingml/2006/picture">
                <wp:extent cx="1005840" cy="675632"/>
                <wp:docPr id="1" name="Picture 1"/>
                <wp:cNvGraphicFramePr>
                  <a:graphicFrameLocks noChangeAspect="1"/>
                </wp:cNvGraphicFramePr>
                <a:graphic>
                  <a:graphicData uri="http://schemas.openxmlformats.org/drawingml/2006/picture">
                    <pic:pic>
                      <pic:nvPicPr>
                        <pic:cNvPr id="0" name="finwell_logo_transparent.png"/>
                        <pic:cNvPicPr/>
                      </pic:nvPicPr>
                      <pic:blipFill>
                        <a:blip r:embed="rId1"/>
                        <a:stretch>
                          <a:fillRect/>
                        </a:stretch>
                      </pic:blipFill>
                      <pic:spPr>
                        <a:xfrm>
                          <a:off x="0" y="0"/>
                          <a:ext cx="1005840" cy="675632"/>
                        </a:xfrm>
                        <a:prstGeom prst="rect"/>
                      </pic:spPr>
                    </pic:pic>
                  </a:graphicData>
                </a:graphic>
              </wp:inline>
            </w:drawing>
          </w:r>
        </w:p>
      </w:tc>
      <w:tc>
        <w:tcPr>
          <w:tcW w:type="dxa" w:w="5076"/>
          <w:tcMar>
            <w:top w:w="0" w:type="dxa"/>
            <w:start w:w="0" w:type="dxa"/>
            <w:bottom w:w="0" w:type="dxa"/>
            <w:end w:w="0" w:type="dxa"/>
          </w:tcMar>
        </w:tcPr>
        <w:p>
          <w:pPr>
            <w:jc w:val="right"/>
          </w:pPr>
          <w:r>
            <w:rPr>
              <w:b/>
              <w:color w:val="0B1F33"/>
              <w:sz w:val="16"/>
            </w:rPr>
            <w:t>BIZZOMATION | MASTER AGREEMENT</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59" w:lineRule="auto"/>
    </w:pPr>
    <w:rPr>
      <w:rFonts w:ascii="Aptos" w:hAnsi="Aptos"/>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60" w:after="80"/>
      <w:outlineLvl w:val="0"/>
    </w:pPr>
    <w:rPr>
      <w:rFonts w:asciiTheme="majorHAnsi" w:eastAsiaTheme="majorEastAsia" w:hAnsiTheme="majorHAnsi" w:cstheme="majorBidi" w:ascii="Aptos Display" w:hAnsi="Aptos Display"/>
      <w:b/>
      <w:bCs/>
      <w:color w:val="0B1F33"/>
      <w:sz w:val="32"/>
      <w:szCs w:val="28"/>
    </w:rPr>
  </w:style>
  <w:style w:type="paragraph" w:styleId="Heading2">
    <w:name w:val="heading 2"/>
    <w:basedOn w:val="Normal"/>
    <w:next w:val="Normal"/>
    <w:link w:val="Heading2Char"/>
    <w:uiPriority w:val="9"/>
    <w:unhideWhenUsed/>
    <w:qFormat/>
    <w:rsid w:val="00FC693F"/>
    <w:pPr>
      <w:keepNext/>
      <w:keepLines/>
      <w:spacing w:before="160" w:after="80"/>
      <w:outlineLvl w:val="1"/>
    </w:pPr>
    <w:rPr>
      <w:rFonts w:asciiTheme="majorHAnsi" w:eastAsiaTheme="majorEastAsia" w:hAnsiTheme="majorHAnsi" w:cstheme="majorBidi" w:ascii="Aptos Display" w:hAnsi="Aptos Display"/>
      <w:b/>
      <w:bCs/>
      <w:color w:val="D85A1A"/>
      <w:sz w:val="25"/>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Aptos Display" w:hAnsi="Aptos Display"/>
      <w:b/>
      <w:bCs/>
      <w:color w:val="0B1F33"/>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80" w:line="240" w:lineRule="auto" w:before="160"/>
      <w:contextualSpacing/>
    </w:pPr>
    <w:rPr>
      <w:rFonts w:asciiTheme="majorHAnsi" w:eastAsiaTheme="majorEastAsia" w:hAnsiTheme="majorHAnsi" w:cstheme="majorBidi" w:ascii="Aptos Display" w:hAnsi="Aptos Display"/>
      <w:b/>
      <w:color w:val="0B1F33"/>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lause">
    <w:name w:val="Clause"/>
    <w:pPr>
      <w:spacing w:after="60"/>
    </w:pPr>
    <w:rPr>
      <w:rFonts w:ascii="Aptos" w:hAnsi="Aptos"/>
      <w:b w:val="0"/>
      <w:color w:val="101828"/>
      <w:sz w:val="18"/>
    </w:rPr>
  </w:style>
  <w:style w:type="paragraph" w:customStyle="1" w:styleId="Small">
    <w:name w:val="Small"/>
    <w:pPr>
      <w:spacing w:after="60"/>
    </w:pPr>
    <w:rPr>
      <w:rFonts w:ascii="Aptos" w:hAnsi="Aptos"/>
      <w:b w:val="0"/>
      <w:color w:val="667085"/>
      <w:sz w:val="15"/>
    </w:rPr>
  </w:style>
  <w:style w:type="paragraph" w:customStyle="1" w:styleId="ScheduleTitle">
    <w:name w:val="ScheduleTitle"/>
    <w:pPr>
      <w:spacing w:after="60"/>
    </w:pPr>
    <w:rPr>
      <w:rFonts w:ascii="Aptos" w:hAnsi="Aptos"/>
      <w:b/>
      <w:color w:val="FFFFFF"/>
      <w:sz w:val="40"/>
    </w:rPr>
  </w:style>
  <w:style w:type="paragraph" w:customStyle="1" w:styleId="BoxTitle">
    <w:name w:val="BoxTitle"/>
    <w:pPr>
      <w:spacing w:after="60"/>
    </w:pPr>
    <w:rPr>
      <w:rFonts w:ascii="Aptos" w:hAnsi="Aptos"/>
      <w:b/>
      <w:color w:val="FFFFFF"/>
      <w:sz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Bizzomation Master Software Subscription, Implementation, Support and Data Processing Agreement</dc:title>
  <dc:subject>Bizzomation SaaS and implementation agreement template</dc:subject>
  <dc:creator>Finwell Growth Solutions Pvt. Ltd.</dc:creator>
  <cp:keywords>Bizzomation, SaaS, software agreement, data processing, implementation, SLA</cp:keywords>
  <dc:description>generated by python-docx</dc:description>
  <cp:lastModifiedBy/>
  <cp:revision>1</cp:revision>
  <dcterms:created xsi:type="dcterms:W3CDTF">2013-12-23T23:15:00Z</dcterms:created>
  <dcterms:modified xsi:type="dcterms:W3CDTF">2013-12-23T23:15:00Z</dcterms:modified>
  <cp:category/>
</cp:coreProperties>
</file>